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65" w:rsidRPr="006C5648" w:rsidRDefault="000D3135" w:rsidP="00BF2165">
      <w:pPr>
        <w:jc w:val="center"/>
        <w:rPr>
          <w:rFonts w:ascii="Arial" w:hAnsi="Arial" w:cs="Arial"/>
          <w:b/>
          <w:sz w:val="20"/>
          <w:szCs w:val="20"/>
        </w:rPr>
      </w:pPr>
      <w:r>
        <w:rPr>
          <w:rFonts w:ascii="Arial" w:hAnsi="Arial" w:cs="Arial"/>
          <w:b/>
          <w:sz w:val="20"/>
          <w:szCs w:val="20"/>
        </w:rPr>
        <w:t>Anti-Money Laundering and Know Your Customer</w:t>
      </w:r>
    </w:p>
    <w:p w:rsidR="00BF2165" w:rsidRPr="006C5648" w:rsidRDefault="00BF2165" w:rsidP="00BF2165">
      <w:pPr>
        <w:jc w:val="center"/>
        <w:rPr>
          <w:rFonts w:ascii="Arial" w:hAnsi="Arial" w:cs="Arial"/>
          <w:sz w:val="20"/>
          <w:szCs w:val="20"/>
        </w:rPr>
      </w:pPr>
    </w:p>
    <w:tbl>
      <w:tblPr>
        <w:tblStyle w:val="TableGrid"/>
        <w:tblW w:w="0" w:type="auto"/>
        <w:tblInd w:w="0" w:type="dxa"/>
        <w:tblLook w:val="04A0" w:firstRow="1" w:lastRow="0" w:firstColumn="1" w:lastColumn="0" w:noHBand="0" w:noVBand="1"/>
      </w:tblPr>
      <w:tblGrid>
        <w:gridCol w:w="846"/>
        <w:gridCol w:w="8170"/>
      </w:tblGrid>
      <w:tr w:rsidR="00BF2165" w:rsidRPr="006C5648" w:rsidTr="00BF2165">
        <w:tc>
          <w:tcPr>
            <w:tcW w:w="846"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proofErr w:type="spellStart"/>
            <w:r w:rsidRPr="006C5648">
              <w:rPr>
                <w:rFonts w:ascii="Arial" w:hAnsi="Arial" w:cs="Arial"/>
                <w:b/>
                <w:sz w:val="20"/>
                <w:szCs w:val="20"/>
              </w:rPr>
              <w:t>S.No</w:t>
            </w:r>
            <w:proofErr w:type="spellEnd"/>
            <w:r w:rsidRPr="006C5648">
              <w:rPr>
                <w:rFonts w:ascii="Arial" w:hAnsi="Arial" w:cs="Arial"/>
                <w:b/>
                <w:sz w:val="20"/>
                <w:szCs w:val="20"/>
              </w:rPr>
              <w:t>.</w:t>
            </w:r>
          </w:p>
        </w:tc>
        <w:tc>
          <w:tcPr>
            <w:tcW w:w="8170" w:type="dxa"/>
            <w:tcBorders>
              <w:top w:val="single" w:sz="4" w:space="0" w:color="auto"/>
              <w:left w:val="single" w:sz="4" w:space="0" w:color="auto"/>
              <w:bottom w:val="single" w:sz="4" w:space="0" w:color="auto"/>
              <w:right w:val="single" w:sz="4" w:space="0" w:color="auto"/>
            </w:tcBorders>
            <w:hideMark/>
          </w:tcPr>
          <w:p w:rsidR="00BF2165" w:rsidRPr="006C5648" w:rsidRDefault="00BF2165">
            <w:pPr>
              <w:spacing w:line="240" w:lineRule="auto"/>
              <w:jc w:val="center"/>
              <w:rPr>
                <w:rFonts w:ascii="Arial" w:hAnsi="Arial" w:cs="Arial"/>
                <w:b/>
                <w:sz w:val="20"/>
                <w:szCs w:val="20"/>
              </w:rPr>
            </w:pPr>
            <w:r w:rsidRPr="006C5648">
              <w:rPr>
                <w:rFonts w:ascii="Arial" w:hAnsi="Arial" w:cs="Arial"/>
                <w:b/>
                <w:sz w:val="20"/>
                <w:szCs w:val="20"/>
              </w:rPr>
              <w:t>RBI Notification</w:t>
            </w:r>
          </w:p>
        </w:tc>
      </w:tr>
      <w:tr w:rsidR="00BF2165" w:rsidRPr="006C5648" w:rsidTr="00066AD4">
        <w:tc>
          <w:tcPr>
            <w:tcW w:w="846" w:type="dxa"/>
            <w:tcBorders>
              <w:top w:val="single" w:sz="4" w:space="0" w:color="auto"/>
              <w:left w:val="single" w:sz="4" w:space="0" w:color="auto"/>
              <w:bottom w:val="single" w:sz="4" w:space="0" w:color="auto"/>
              <w:right w:val="single" w:sz="4" w:space="0" w:color="auto"/>
            </w:tcBorders>
          </w:tcPr>
          <w:p w:rsidR="00BF2165" w:rsidRPr="006C5648" w:rsidRDefault="00BF2165"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BF2165"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Gold Monetization Scheme (GMS), 2015</w:t>
            </w:r>
          </w:p>
        </w:tc>
      </w:tr>
      <w:tr w:rsidR="002C55B6" w:rsidRPr="006C5648" w:rsidTr="00BF2165">
        <w:tc>
          <w:tcPr>
            <w:tcW w:w="846" w:type="dxa"/>
            <w:tcBorders>
              <w:top w:val="single" w:sz="4" w:space="0" w:color="auto"/>
              <w:left w:val="single" w:sz="4" w:space="0" w:color="auto"/>
              <w:bottom w:val="single" w:sz="4" w:space="0" w:color="auto"/>
              <w:right w:val="single" w:sz="4" w:space="0" w:color="auto"/>
            </w:tcBorders>
          </w:tcPr>
          <w:p w:rsidR="002C55B6" w:rsidRPr="006C5648" w:rsidRDefault="002C55B6" w:rsidP="005A38FC">
            <w:pPr>
              <w:pStyle w:val="ListParagraph"/>
              <w:numPr>
                <w:ilvl w:val="0"/>
                <w:numId w:val="1"/>
              </w:numPr>
              <w:spacing w:line="240" w:lineRule="auto"/>
              <w:jc w:val="both"/>
              <w:rPr>
                <w:rFonts w:ascii="Arial" w:hAnsi="Arial" w:cs="Arial"/>
                <w:sz w:val="20"/>
                <w:szCs w:val="20"/>
              </w:rPr>
            </w:pPr>
          </w:p>
        </w:tc>
        <w:tc>
          <w:tcPr>
            <w:tcW w:w="8170" w:type="dxa"/>
            <w:tcBorders>
              <w:top w:val="single" w:sz="4" w:space="0" w:color="auto"/>
              <w:left w:val="single" w:sz="4" w:space="0" w:color="auto"/>
              <w:bottom w:val="single" w:sz="4" w:space="0" w:color="auto"/>
              <w:right w:val="single" w:sz="4" w:space="0" w:color="auto"/>
            </w:tcBorders>
          </w:tcPr>
          <w:p w:rsidR="002C55B6" w:rsidRPr="006C5648" w:rsidRDefault="006C5648">
            <w:pPr>
              <w:spacing w:line="240" w:lineRule="auto"/>
              <w:jc w:val="both"/>
              <w:rPr>
                <w:rFonts w:ascii="Calibri" w:hAnsi="Calibri" w:cs="Calibri"/>
                <w:color w:val="000000"/>
                <w:sz w:val="20"/>
                <w:szCs w:val="20"/>
              </w:rPr>
            </w:pPr>
            <w:r>
              <w:rPr>
                <w:rFonts w:ascii="Calibri" w:hAnsi="Calibri" w:cs="Calibri"/>
                <w:color w:val="000000"/>
                <w:sz w:val="20"/>
                <w:szCs w:val="20"/>
              </w:rPr>
              <w:t>Reserve Bank - Integrated Ombudsman Scheme, 2021 (RBIOS, 2021)</w:t>
            </w:r>
          </w:p>
        </w:tc>
      </w:tr>
      <w:tr w:rsidR="000D3135" w:rsidRPr="006C5648" w:rsidTr="00BF2165">
        <w:tc>
          <w:tcPr>
            <w:tcW w:w="846" w:type="dxa"/>
            <w:tcBorders>
              <w:top w:val="single" w:sz="4" w:space="0" w:color="auto"/>
              <w:left w:val="single" w:sz="4" w:space="0" w:color="auto"/>
              <w:bottom w:val="single" w:sz="4" w:space="0" w:color="auto"/>
              <w:right w:val="single" w:sz="4" w:space="0" w:color="auto"/>
            </w:tcBorders>
          </w:tcPr>
          <w:p w:rsidR="000D3135" w:rsidRPr="006C5648" w:rsidRDefault="000D3135" w:rsidP="000D3135">
            <w:pPr>
              <w:pStyle w:val="ListParagraph"/>
              <w:numPr>
                <w:ilvl w:val="0"/>
                <w:numId w:val="1"/>
              </w:numPr>
              <w:spacing w:line="240" w:lineRule="auto"/>
              <w:jc w:val="both"/>
              <w:rPr>
                <w:rFonts w:ascii="Arial" w:hAnsi="Arial" w:cs="Arial"/>
                <w:sz w:val="20"/>
                <w:szCs w:val="20"/>
              </w:rPr>
            </w:pPr>
            <w:bookmarkStart w:id="0" w:name="_GoBack" w:colFirst="1" w:colLast="1"/>
          </w:p>
        </w:tc>
        <w:tc>
          <w:tcPr>
            <w:tcW w:w="8170" w:type="dxa"/>
            <w:tcBorders>
              <w:top w:val="single" w:sz="4" w:space="0" w:color="auto"/>
              <w:left w:val="single" w:sz="4" w:space="0" w:color="auto"/>
              <w:bottom w:val="single" w:sz="4" w:space="0" w:color="auto"/>
              <w:right w:val="single" w:sz="4" w:space="0" w:color="auto"/>
            </w:tcBorders>
          </w:tcPr>
          <w:p w:rsidR="000D3135" w:rsidRDefault="000D3135" w:rsidP="000D3135">
            <w:pPr>
              <w:spacing w:line="240" w:lineRule="auto"/>
              <w:jc w:val="both"/>
              <w:rPr>
                <w:rFonts w:ascii="Calibri" w:hAnsi="Calibri" w:cs="Calibri"/>
                <w:color w:val="000000"/>
                <w:sz w:val="20"/>
                <w:szCs w:val="20"/>
              </w:rPr>
            </w:pPr>
            <w:r>
              <w:rPr>
                <w:rFonts w:ascii="Calibri" w:hAnsi="Calibri" w:cs="Calibri"/>
                <w:color w:val="000000"/>
                <w:sz w:val="20"/>
                <w:szCs w:val="20"/>
              </w:rPr>
              <w:t>Central Payments Fraud Information Registry – Migration of Reporting to DAKSH</w:t>
            </w:r>
          </w:p>
        </w:tc>
      </w:tr>
      <w:bookmarkEnd w:id="0"/>
    </w:tbl>
    <w:p w:rsidR="00744532" w:rsidRDefault="00744532">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6C5648" w:rsidRDefault="006C5648">
      <w:pPr>
        <w:spacing w:line="259" w:lineRule="auto"/>
        <w:rPr>
          <w:rFonts w:ascii="Arial" w:hAnsi="Arial" w:cs="Arial"/>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0D3135" w:rsidRDefault="000D3135" w:rsidP="00A410BB">
      <w:pPr>
        <w:spacing w:line="259" w:lineRule="auto"/>
        <w:rPr>
          <w:rFonts w:ascii="Arial" w:hAnsi="Arial" w:cs="Arial"/>
          <w:b/>
          <w:bCs/>
          <w:color w:val="000000"/>
          <w:sz w:val="20"/>
          <w:szCs w:val="20"/>
        </w:rPr>
      </w:pPr>
    </w:p>
    <w:p w:rsidR="00A410BB" w:rsidRDefault="00A410BB" w:rsidP="00A410BB">
      <w:pPr>
        <w:spacing w:line="259" w:lineRule="auto"/>
        <w:rPr>
          <w:rFonts w:ascii="Arial" w:hAnsi="Arial" w:cs="Arial"/>
          <w:b/>
          <w:bCs/>
          <w:color w:val="000000"/>
          <w:sz w:val="20"/>
          <w:szCs w:val="20"/>
        </w:rPr>
      </w:pPr>
      <w:r>
        <w:rPr>
          <w:rFonts w:ascii="Arial" w:hAnsi="Arial" w:cs="Arial"/>
          <w:b/>
          <w:bCs/>
          <w:color w:val="000000"/>
          <w:sz w:val="20"/>
          <w:szCs w:val="20"/>
        </w:rPr>
        <w:lastRenderedPageBreak/>
        <w:t>Gold Monetization Scheme (GMS), 2015</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RBI/2022-23/100</w:t>
      </w:r>
      <w:r>
        <w:rPr>
          <w:rFonts w:ascii="Arial" w:hAnsi="Arial" w:cs="Arial"/>
          <w:color w:val="000000"/>
          <w:sz w:val="20"/>
          <w:szCs w:val="20"/>
        </w:rPr>
        <w:br/>
        <w:t>DoR.AUT.REC.58/23.67.001/2022-23</w:t>
      </w:r>
    </w:p>
    <w:p w:rsidR="00A410BB" w:rsidRDefault="00A410BB" w:rsidP="00A410BB">
      <w:pPr>
        <w:pStyle w:val="NormalWeb"/>
        <w:jc w:val="right"/>
        <w:rPr>
          <w:rFonts w:ascii="Arial" w:hAnsi="Arial" w:cs="Arial"/>
          <w:color w:val="000000"/>
          <w:sz w:val="20"/>
          <w:szCs w:val="20"/>
        </w:rPr>
      </w:pPr>
      <w:r>
        <w:rPr>
          <w:rFonts w:ascii="Arial" w:hAnsi="Arial" w:cs="Arial"/>
          <w:color w:val="000000"/>
          <w:sz w:val="20"/>
          <w:szCs w:val="20"/>
        </w:rPr>
        <w:t>August 04, 2022</w:t>
      </w:r>
    </w:p>
    <w:p w:rsidR="00A410BB" w:rsidRDefault="00A410BB" w:rsidP="00436D36">
      <w:pPr>
        <w:pStyle w:val="NormalWeb"/>
        <w:spacing w:after="0" w:afterAutospacing="0"/>
        <w:rPr>
          <w:rFonts w:ascii="Arial" w:hAnsi="Arial" w:cs="Arial"/>
          <w:color w:val="000000"/>
          <w:sz w:val="20"/>
          <w:szCs w:val="20"/>
        </w:rPr>
      </w:pPr>
      <w:r>
        <w:rPr>
          <w:rFonts w:ascii="Arial" w:hAnsi="Arial" w:cs="Arial"/>
          <w:color w:val="000000"/>
          <w:sz w:val="20"/>
          <w:szCs w:val="20"/>
        </w:rPr>
        <w:t>All Scheduled Commercial Banks</w:t>
      </w:r>
      <w:r>
        <w:rPr>
          <w:rFonts w:ascii="Arial" w:hAnsi="Arial" w:cs="Arial"/>
          <w:color w:val="000000"/>
          <w:sz w:val="20"/>
          <w:szCs w:val="20"/>
        </w:rPr>
        <w:br/>
        <w:t>(excluding Regional Rural Banks)</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Dear Sir/Madam</w:t>
      </w:r>
    </w:p>
    <w:p w:rsidR="00A410BB" w:rsidRDefault="00A410BB" w:rsidP="00A410BB">
      <w:pPr>
        <w:pStyle w:val="head"/>
        <w:rPr>
          <w:rFonts w:ascii="Arial" w:hAnsi="Arial" w:cs="Arial"/>
          <w:b/>
          <w:bCs/>
          <w:color w:val="000000"/>
          <w:sz w:val="20"/>
          <w:szCs w:val="20"/>
        </w:rPr>
      </w:pPr>
      <w:r>
        <w:rPr>
          <w:rFonts w:ascii="Arial" w:hAnsi="Arial" w:cs="Arial"/>
          <w:b/>
          <w:bCs/>
          <w:color w:val="000000"/>
          <w:sz w:val="20"/>
          <w:szCs w:val="20"/>
        </w:rPr>
        <w:t>Gold Monetization Scheme (GMS), 2015</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In exercise of the powers conferred on the Reserve Bank of India under Section 35A of the Banking Regulation Act, 1949, the RBI makes the following amendments in the Reserve Bank of India (Gold Monetization Scheme, 2015) </w:t>
      </w:r>
      <w:hyperlink r:id="rId6" w:tgtFrame="_blank" w:history="1">
        <w:r>
          <w:rPr>
            <w:rStyle w:val="Hyperlink"/>
            <w:rFonts w:ascii="Arial" w:hAnsi="Arial" w:cs="Arial"/>
            <w:sz w:val="20"/>
            <w:szCs w:val="20"/>
          </w:rPr>
          <w:t>Master Direction No.DBR.IBD.No.45/23.67.003/2015-16 dated October 22, 2015</w:t>
        </w:r>
      </w:hyperlink>
      <w:r>
        <w:rPr>
          <w:rFonts w:ascii="Arial" w:hAnsi="Arial" w:cs="Arial"/>
          <w:color w:val="000000"/>
          <w:sz w:val="20"/>
          <w:szCs w:val="20"/>
        </w:rPr>
        <w:t>, with immediate effect.</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2. The existing sub-para 2.2.</w:t>
      </w:r>
      <w:proofErr w:type="gramStart"/>
      <w:r>
        <w:rPr>
          <w:rFonts w:ascii="Arial" w:hAnsi="Arial" w:cs="Arial"/>
          <w:color w:val="000000"/>
          <w:sz w:val="20"/>
          <w:szCs w:val="20"/>
        </w:rPr>
        <w:t>2.(</w:t>
      </w:r>
      <w:proofErr w:type="gramEnd"/>
      <w:r>
        <w:rPr>
          <w:rFonts w:ascii="Arial" w:hAnsi="Arial" w:cs="Arial"/>
          <w:color w:val="000000"/>
          <w:sz w:val="20"/>
          <w:szCs w:val="20"/>
        </w:rPr>
        <w:t>v) stands deleted (and hence the existing sub-paras 2.2.2.(vi) to 2.2.2.(viii) have accordingly been renumbered). The corresponding provisions have been suitably incorporated in sub-para 2.4.i.(a) and 2.4.i.(b).</w:t>
      </w:r>
    </w:p>
    <w:p w:rsidR="00A410BB" w:rsidRDefault="00A410BB" w:rsidP="00436D36">
      <w:pPr>
        <w:pStyle w:val="NormalWeb"/>
        <w:spacing w:after="0" w:afterAutospacing="0"/>
        <w:rPr>
          <w:rFonts w:ascii="Arial" w:hAnsi="Arial" w:cs="Arial"/>
          <w:color w:val="000000"/>
          <w:sz w:val="20"/>
          <w:szCs w:val="20"/>
        </w:rPr>
      </w:pPr>
      <w:r>
        <w:rPr>
          <w:rFonts w:ascii="Arial" w:hAnsi="Arial" w:cs="Arial"/>
          <w:color w:val="000000"/>
          <w:sz w:val="20"/>
          <w:szCs w:val="20"/>
        </w:rPr>
        <w:t>3. The sub-para 2.2.</w:t>
      </w:r>
      <w:proofErr w:type="gramStart"/>
      <w:r>
        <w:rPr>
          <w:rFonts w:ascii="Arial" w:hAnsi="Arial" w:cs="Arial"/>
          <w:color w:val="000000"/>
          <w:sz w:val="20"/>
          <w:szCs w:val="20"/>
        </w:rPr>
        <w:t>2.(</w:t>
      </w:r>
      <w:proofErr w:type="gramEnd"/>
      <w:r>
        <w:rPr>
          <w:rFonts w:ascii="Arial" w:hAnsi="Arial" w:cs="Arial"/>
          <w:color w:val="000000"/>
          <w:sz w:val="20"/>
          <w:szCs w:val="20"/>
        </w:rPr>
        <w:t>vii) has been amended to read as follows:</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“Central Government has decided that with effect from November 5, 2016, designated banks will be paid handling charges (including gold purity testing, refining, transportation, storage and any other relevant costs) for a new MLTGD at a flat rate of 1.5% and commission at the rate of 1% of the rupee equivalent of the amount of gold mobilized under the scheme until further notice. In case of renewal of deposits, as banks will not incur any expenses on purity testing, refining, transportation, storage and insurance etc., the banks will only be given a fixed commission of 1% of the rupee equivalent of the amount of gold on the date of renewal towards their administrative and account maintenance cost.”</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4. A new sub-para 2.4 has been inserted (and hence the existing sub-paras 2.4 to 2.10 have accordingly been renumbered) which reads as follows -</w:t>
      </w:r>
    </w:p>
    <w:p w:rsidR="00A410BB" w:rsidRDefault="00A410BB" w:rsidP="00A410BB">
      <w:pPr>
        <w:pStyle w:val="head"/>
        <w:rPr>
          <w:rFonts w:ascii="Arial" w:hAnsi="Arial" w:cs="Arial"/>
          <w:b/>
          <w:bCs/>
          <w:color w:val="000000"/>
          <w:sz w:val="20"/>
          <w:szCs w:val="20"/>
        </w:rPr>
      </w:pPr>
      <w:r>
        <w:rPr>
          <w:rFonts w:ascii="Arial" w:hAnsi="Arial" w:cs="Arial"/>
          <w:b/>
          <w:bCs/>
          <w:color w:val="000000"/>
          <w:sz w:val="20"/>
          <w:szCs w:val="20"/>
        </w:rPr>
        <w:t>Guidelines for Renewal/Redemption of MLTGD</w:t>
      </w:r>
    </w:p>
    <w:p w:rsidR="00A410BB" w:rsidRPr="00A410BB" w:rsidRDefault="00A410BB" w:rsidP="00A410BB">
      <w:pPr>
        <w:pStyle w:val="head"/>
        <w:spacing w:before="0" w:beforeAutospacing="0" w:after="0" w:afterAutospacing="0"/>
        <w:rPr>
          <w:rFonts w:ascii="Arial" w:hAnsi="Arial" w:cs="Arial"/>
          <w:bCs/>
          <w:color w:val="000000"/>
          <w:sz w:val="20"/>
          <w:szCs w:val="20"/>
        </w:rPr>
      </w:pPr>
      <w:proofErr w:type="spellStart"/>
      <w:r w:rsidRPr="00A410BB">
        <w:rPr>
          <w:rFonts w:ascii="Arial" w:hAnsi="Arial" w:cs="Arial"/>
          <w:bCs/>
          <w:color w:val="000000"/>
          <w:sz w:val="20"/>
          <w:szCs w:val="20"/>
        </w:rPr>
        <w:t>i</w:t>
      </w:r>
      <w:proofErr w:type="spellEnd"/>
      <w:r w:rsidRPr="00A410BB">
        <w:rPr>
          <w:rFonts w:ascii="Arial" w:hAnsi="Arial" w:cs="Arial"/>
          <w:bCs/>
          <w:color w:val="000000"/>
          <w:sz w:val="20"/>
          <w:szCs w:val="20"/>
        </w:rPr>
        <w:t>. General</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 Redemption in Gold</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iii. Redemption in INR – Modalities</w:t>
      </w:r>
    </w:p>
    <w:p w:rsidR="00A410BB" w:rsidRPr="00A410BB" w:rsidRDefault="00A410BB" w:rsidP="00A410BB">
      <w:pPr>
        <w:pStyle w:val="head"/>
        <w:spacing w:before="0" w:beforeAutospacing="0" w:after="0" w:afterAutospacing="0"/>
        <w:rPr>
          <w:rFonts w:ascii="Arial" w:hAnsi="Arial" w:cs="Arial"/>
          <w:bCs/>
          <w:color w:val="000000"/>
          <w:sz w:val="20"/>
          <w:szCs w:val="20"/>
        </w:rPr>
      </w:pPr>
      <w:r w:rsidRPr="00A410BB">
        <w:rPr>
          <w:rFonts w:ascii="Arial" w:hAnsi="Arial" w:cs="Arial"/>
          <w:bCs/>
          <w:color w:val="000000"/>
          <w:sz w:val="20"/>
          <w:szCs w:val="20"/>
        </w:rPr>
        <w:t>iv. Renewal of Deposit – Modalities</w:t>
      </w:r>
    </w:p>
    <w:p w:rsidR="00A410BB" w:rsidRPr="00A410BB" w:rsidRDefault="00A410BB" w:rsidP="00A410BB">
      <w:pPr>
        <w:pStyle w:val="head"/>
        <w:spacing w:before="0" w:beforeAutospacing="0"/>
        <w:rPr>
          <w:rFonts w:ascii="Arial" w:hAnsi="Arial" w:cs="Arial"/>
          <w:bCs/>
          <w:color w:val="000000"/>
          <w:sz w:val="20"/>
          <w:szCs w:val="20"/>
        </w:rPr>
      </w:pPr>
      <w:r w:rsidRPr="00A410BB">
        <w:rPr>
          <w:rFonts w:ascii="Arial" w:hAnsi="Arial" w:cs="Arial"/>
          <w:bCs/>
          <w:color w:val="000000"/>
          <w:sz w:val="20"/>
          <w:szCs w:val="20"/>
        </w:rPr>
        <w:t>v. Partial Renewal and Partial Redemption in gold/INR – Modalities</w:t>
      </w:r>
    </w:p>
    <w:p w:rsidR="00A410BB" w:rsidRDefault="00A410BB" w:rsidP="00A410BB">
      <w:pPr>
        <w:pStyle w:val="NormalWeb"/>
        <w:spacing w:after="0" w:afterAutospacing="0"/>
        <w:rPr>
          <w:rFonts w:ascii="Arial" w:hAnsi="Arial" w:cs="Arial"/>
          <w:color w:val="000000"/>
          <w:sz w:val="20"/>
          <w:szCs w:val="20"/>
        </w:rPr>
      </w:pPr>
      <w:r>
        <w:rPr>
          <w:rFonts w:ascii="Arial" w:hAnsi="Arial" w:cs="Arial"/>
          <w:color w:val="000000"/>
          <w:sz w:val="20"/>
          <w:szCs w:val="20"/>
        </w:rPr>
        <w:t>Yours faithfully</w:t>
      </w:r>
    </w:p>
    <w:p w:rsidR="00A410BB" w:rsidRDefault="00A410BB" w:rsidP="00A410BB">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436D36" w:rsidRDefault="00436D36" w:rsidP="00A410BB">
      <w:pPr>
        <w:pStyle w:val="NormalWeb"/>
        <w:rPr>
          <w:rFonts w:ascii="Arial" w:hAnsi="Arial" w:cs="Arial"/>
          <w:color w:val="000000"/>
          <w:sz w:val="20"/>
          <w:szCs w:val="20"/>
        </w:rPr>
      </w:pPr>
    </w:p>
    <w:p w:rsidR="00436D36" w:rsidRDefault="00436D36" w:rsidP="00436D36">
      <w:r>
        <w:t>More details can be referred to in the below link.</w:t>
      </w:r>
    </w:p>
    <w:p w:rsidR="00436D36" w:rsidRDefault="00436D36" w:rsidP="00436D36">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 w:history="1">
        <w:r w:rsidRPr="006865D6">
          <w:rPr>
            <w:rStyle w:val="Hyperlink"/>
            <w:rFonts w:ascii="Arial" w:hAnsi="Arial" w:cs="Arial"/>
            <w:bCs/>
            <w:sz w:val="20"/>
            <w:szCs w:val="20"/>
          </w:rPr>
          <w:t>https://www.rbi.org.in/scripts/NotificationUser.aspx?Id=12368&amp;Mode=0</w:t>
        </w:r>
      </w:hyperlink>
    </w:p>
    <w:p w:rsidR="00436D36" w:rsidRDefault="00436D36" w:rsidP="00436D36">
      <w:pPr>
        <w:pStyle w:val="NormalWeb"/>
        <w:rPr>
          <w:rFonts w:ascii="Arial" w:hAnsi="Arial" w:cs="Arial"/>
          <w:color w:val="000000"/>
          <w:sz w:val="20"/>
          <w:szCs w:val="20"/>
        </w:rPr>
      </w:pPr>
    </w:p>
    <w:p w:rsidR="00436D36" w:rsidRDefault="00436D36" w:rsidP="00436D36">
      <w:pPr>
        <w:pStyle w:val="NormalWeb"/>
        <w:rPr>
          <w:rFonts w:ascii="Arial" w:hAnsi="Arial" w:cs="Arial"/>
          <w:color w:val="000000"/>
          <w:sz w:val="20"/>
          <w:szCs w:val="20"/>
        </w:rPr>
      </w:pPr>
    </w:p>
    <w:p w:rsidR="00436D36" w:rsidRDefault="00436D36" w:rsidP="00436D36">
      <w:pPr>
        <w:pStyle w:val="NormalWeb"/>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EXECUTIVE DIRECTOR</w:t>
      </w:r>
    </w:p>
    <w:p w:rsidR="00436D36" w:rsidRDefault="00436D36" w:rsidP="00436D36">
      <w:pPr>
        <w:pStyle w:val="head"/>
        <w:rPr>
          <w:rFonts w:ascii="Arial" w:hAnsi="Arial" w:cs="Arial"/>
          <w:b/>
          <w:bCs/>
          <w:color w:val="000000"/>
          <w:sz w:val="20"/>
          <w:szCs w:val="20"/>
        </w:rPr>
      </w:pPr>
      <w:r>
        <w:rPr>
          <w:rFonts w:ascii="Arial" w:hAnsi="Arial" w:cs="Arial"/>
          <w:b/>
          <w:bCs/>
          <w:color w:val="000000"/>
          <w:sz w:val="20"/>
          <w:szCs w:val="20"/>
        </w:rPr>
        <w:t>Reserve Bank of India</w:t>
      </w:r>
      <w:r>
        <w:rPr>
          <w:rFonts w:ascii="Arial" w:hAnsi="Arial" w:cs="Arial"/>
          <w:b/>
          <w:bCs/>
          <w:color w:val="000000"/>
          <w:sz w:val="20"/>
          <w:szCs w:val="20"/>
        </w:rPr>
        <w:br/>
        <w:t>Mumbai</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rPr>
        <w:t>Reserve Bank - Integrated Ombudsman Scheme, 2021 (RBIOS, 2021)</w:t>
      </w:r>
    </w:p>
    <w:p w:rsidR="00436D36" w:rsidRDefault="00436D36" w:rsidP="00DE6119">
      <w:pPr>
        <w:pStyle w:val="head"/>
        <w:jc w:val="center"/>
        <w:rPr>
          <w:rFonts w:ascii="Arial" w:hAnsi="Arial" w:cs="Arial"/>
          <w:b/>
          <w:bCs/>
          <w:color w:val="000000"/>
          <w:sz w:val="20"/>
          <w:szCs w:val="20"/>
        </w:rPr>
      </w:pPr>
      <w:r>
        <w:rPr>
          <w:rFonts w:ascii="Arial" w:hAnsi="Arial" w:cs="Arial"/>
          <w:b/>
          <w:bCs/>
          <w:color w:val="000000"/>
          <w:sz w:val="20"/>
          <w:szCs w:val="20"/>
          <w:u w:val="single"/>
        </w:rPr>
        <w:t>NOTIFICATION</w:t>
      </w:r>
    </w:p>
    <w:p w:rsidR="00436D36" w:rsidRDefault="00436D36" w:rsidP="00436D36">
      <w:pPr>
        <w:pStyle w:val="NormalWeb"/>
        <w:rPr>
          <w:rFonts w:ascii="Arial" w:hAnsi="Arial" w:cs="Arial"/>
          <w:color w:val="000000"/>
          <w:sz w:val="20"/>
          <w:szCs w:val="20"/>
        </w:rPr>
      </w:pPr>
      <w:proofErr w:type="gramStart"/>
      <w:r>
        <w:rPr>
          <w:rFonts w:ascii="Arial" w:hAnsi="Arial" w:cs="Arial"/>
          <w:color w:val="000000"/>
          <w:sz w:val="20"/>
          <w:szCs w:val="20"/>
        </w:rPr>
        <w:t>Ref.CEPD.PRD.No.S</w:t>
      </w:r>
      <w:proofErr w:type="gramEnd"/>
      <w:r>
        <w:rPr>
          <w:rFonts w:ascii="Arial" w:hAnsi="Arial" w:cs="Arial"/>
          <w:color w:val="000000"/>
          <w:sz w:val="20"/>
          <w:szCs w:val="20"/>
        </w:rPr>
        <w:t>544/13.01.001/2022-23</w:t>
      </w:r>
    </w:p>
    <w:p w:rsidR="00436D36" w:rsidRDefault="00436D36" w:rsidP="00DE6119">
      <w:pPr>
        <w:pStyle w:val="NormalWeb"/>
        <w:jc w:val="right"/>
        <w:rPr>
          <w:rFonts w:ascii="Arial" w:hAnsi="Arial" w:cs="Arial"/>
          <w:color w:val="000000"/>
          <w:sz w:val="20"/>
          <w:szCs w:val="20"/>
        </w:rPr>
      </w:pPr>
      <w:r>
        <w:rPr>
          <w:rFonts w:ascii="Arial" w:hAnsi="Arial" w:cs="Arial"/>
          <w:color w:val="000000"/>
          <w:sz w:val="20"/>
          <w:szCs w:val="20"/>
        </w:rPr>
        <w:t>August 5,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In exercise of the powers conferred by sub section (1) of Section 11 of the Credit Information Companies (Regulation) Act, 2005, and in partial modification of its </w:t>
      </w:r>
      <w:hyperlink r:id="rId8" w:tgtFrame="_blank" w:history="1">
        <w:r>
          <w:rPr>
            <w:rStyle w:val="Hyperlink"/>
            <w:rFonts w:ascii="Arial" w:hAnsi="Arial" w:cs="Arial"/>
            <w:sz w:val="20"/>
            <w:szCs w:val="20"/>
          </w:rPr>
          <w:t>notification CEPD. PRD. No. S873/13.01.001/2021-22 dated November 12, 2021</w:t>
        </w:r>
      </w:hyperlink>
      <w:r>
        <w:rPr>
          <w:rFonts w:ascii="Arial" w:hAnsi="Arial" w:cs="Arial"/>
          <w:color w:val="000000"/>
          <w:sz w:val="20"/>
          <w:szCs w:val="20"/>
        </w:rPr>
        <w:t>, the Reserve Bank of India, being satisfied that it is in public interest to do so, and to provide an avenue for cost free alternate grievance redress to customers of regulated entities covered under the RBIOS 2021 (the Scheme) for grievances against Credit Information Companies, hereby directs that the ‘Credit Information Company’ as defined in the Credit Information Companies (Regulation) Act, 2005, shall also be treated as a ‘Regulated Entity’ for the purpose of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2. As a result, the Scheme shall also be applicable to Credit Information Companies to the extent not specifically excluded under the Scheme.</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 xml:space="preserve">3. The amendment in the Scheme shall come into force </w:t>
      </w:r>
      <w:proofErr w:type="spellStart"/>
      <w:r>
        <w:rPr>
          <w:rFonts w:ascii="Arial" w:hAnsi="Arial" w:cs="Arial"/>
          <w:color w:val="000000"/>
          <w:sz w:val="20"/>
          <w:szCs w:val="20"/>
        </w:rPr>
        <w:t>w.e.f</w:t>
      </w:r>
      <w:proofErr w:type="spellEnd"/>
      <w:r>
        <w:rPr>
          <w:rFonts w:ascii="Arial" w:hAnsi="Arial" w:cs="Arial"/>
          <w:color w:val="000000"/>
          <w:sz w:val="20"/>
          <w:szCs w:val="20"/>
        </w:rPr>
        <w:t>. September 1, 2022.</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4. An updated version of the Scheme is </w:t>
      </w:r>
      <w:hyperlink r:id="rId9" w:tgtFrame="_blank" w:history="1">
        <w:r>
          <w:rPr>
            <w:rStyle w:val="Hyperlink"/>
            <w:rFonts w:ascii="Arial" w:hAnsi="Arial" w:cs="Arial"/>
            <w:sz w:val="20"/>
            <w:szCs w:val="20"/>
          </w:rPr>
          <w:t>annexed</w:t>
        </w:r>
      </w:hyperlink>
      <w:r>
        <w:rPr>
          <w:rFonts w:ascii="Arial" w:hAnsi="Arial" w:cs="Arial"/>
          <w:color w:val="000000"/>
          <w:sz w:val="20"/>
          <w:szCs w:val="20"/>
        </w:rPr>
        <w:t>.</w:t>
      </w:r>
    </w:p>
    <w:p w:rsidR="00436D36" w:rsidRDefault="00436D36" w:rsidP="00436D36">
      <w:pPr>
        <w:pStyle w:val="NormalWeb"/>
        <w:rPr>
          <w:rFonts w:ascii="Arial" w:hAnsi="Arial" w:cs="Arial"/>
          <w:color w:val="000000"/>
          <w:sz w:val="20"/>
          <w:szCs w:val="20"/>
        </w:rPr>
      </w:pPr>
      <w:r>
        <w:rPr>
          <w:rFonts w:ascii="Arial" w:hAnsi="Arial" w:cs="Arial"/>
          <w:color w:val="000000"/>
          <w:sz w:val="20"/>
          <w:szCs w:val="20"/>
        </w:rPr>
        <w:t>(Anil Kumar Sharma)</w:t>
      </w:r>
    </w:p>
    <w:p w:rsidR="00436D36" w:rsidRDefault="00436D36" w:rsidP="00436D36">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436D36" w:rsidRDefault="00436D36" w:rsidP="00A410BB">
      <w:pPr>
        <w:pStyle w:val="NormalWeb"/>
        <w:rPr>
          <w:rFonts w:ascii="Arial" w:hAnsi="Arial" w:cs="Arial"/>
          <w:color w:val="000000"/>
          <w:sz w:val="20"/>
          <w:szCs w:val="20"/>
        </w:rPr>
      </w:pPr>
    </w:p>
    <w:p w:rsidR="00DE6119" w:rsidRDefault="00DE6119" w:rsidP="00DE6119">
      <w:r>
        <w:t>More details can be referred to in the below link.</w:t>
      </w:r>
    </w:p>
    <w:p w:rsidR="00A410BB" w:rsidRDefault="00DE6119" w:rsidP="00DE6119">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0" w:history="1">
        <w:r w:rsidRPr="006865D6">
          <w:rPr>
            <w:rStyle w:val="Hyperlink"/>
            <w:rFonts w:ascii="Arial" w:hAnsi="Arial" w:cs="Arial"/>
            <w:bCs/>
            <w:sz w:val="20"/>
            <w:szCs w:val="20"/>
          </w:rPr>
          <w:t>https://www.rbi.org.in/Scripts/NotificationUser.aspx?Id=12371&amp;Mode=0</w:t>
        </w:r>
      </w:hyperlink>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DE6119" w:rsidRDefault="00DE6119" w:rsidP="00DE6119">
      <w:pPr>
        <w:spacing w:line="259" w:lineRule="auto"/>
        <w:rPr>
          <w:rFonts w:ascii="Arial" w:hAnsi="Arial" w:cs="Arial"/>
          <w:bCs/>
          <w:color w:val="000000"/>
          <w:sz w:val="20"/>
          <w:szCs w:val="20"/>
        </w:rPr>
      </w:pPr>
    </w:p>
    <w:p w:rsidR="000D3135" w:rsidRDefault="000D3135" w:rsidP="000D3135">
      <w:pPr>
        <w:spacing w:line="259" w:lineRule="auto"/>
        <w:rPr>
          <w:rFonts w:ascii="Arial" w:hAnsi="Arial" w:cs="Arial"/>
          <w:b/>
          <w:bCs/>
          <w:color w:val="000000"/>
          <w:sz w:val="20"/>
          <w:szCs w:val="20"/>
        </w:rPr>
      </w:pPr>
      <w:r>
        <w:rPr>
          <w:rFonts w:ascii="Arial" w:hAnsi="Arial" w:cs="Arial"/>
          <w:b/>
          <w:bCs/>
          <w:color w:val="000000"/>
          <w:sz w:val="20"/>
          <w:szCs w:val="20"/>
        </w:rPr>
        <w:lastRenderedPageBreak/>
        <w:t>Central Payments Fraud Information Registry – Migration of Reporting to DAKSH</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RBI/2022-23/158</w:t>
      </w:r>
      <w:r>
        <w:rPr>
          <w:rFonts w:ascii="Arial" w:hAnsi="Arial" w:cs="Arial"/>
          <w:color w:val="000000"/>
          <w:sz w:val="20"/>
          <w:szCs w:val="20"/>
        </w:rPr>
        <w:br/>
        <w:t>CO.DPSS.OVRST.No.S1619/06-08-005/2022-2023</w:t>
      </w:r>
    </w:p>
    <w:p w:rsidR="000D3135" w:rsidRDefault="000D3135" w:rsidP="000D3135">
      <w:pPr>
        <w:pStyle w:val="NormalWeb"/>
        <w:jc w:val="right"/>
        <w:rPr>
          <w:rFonts w:ascii="Arial" w:hAnsi="Arial" w:cs="Arial"/>
          <w:color w:val="000000"/>
          <w:sz w:val="20"/>
          <w:szCs w:val="20"/>
        </w:rPr>
      </w:pPr>
      <w:r>
        <w:rPr>
          <w:rFonts w:ascii="Arial" w:hAnsi="Arial" w:cs="Arial"/>
          <w:color w:val="000000"/>
          <w:sz w:val="20"/>
          <w:szCs w:val="20"/>
        </w:rPr>
        <w:t>December 26, 2022</w:t>
      </w:r>
    </w:p>
    <w:p w:rsidR="000D3135" w:rsidRDefault="000D3135" w:rsidP="000D3135">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Banks, Non-bank Payment System Operators (PSOs) and</w:t>
      </w:r>
      <w:r>
        <w:rPr>
          <w:rFonts w:ascii="Arial" w:hAnsi="Arial" w:cs="Arial"/>
          <w:color w:val="000000"/>
          <w:sz w:val="20"/>
          <w:szCs w:val="20"/>
        </w:rPr>
        <w:br/>
        <w:t>Credit Card issuing Non-Banking Financial Companies (NBFCs)</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Madam / Dear Sir,</w:t>
      </w:r>
    </w:p>
    <w:p w:rsidR="000D3135" w:rsidRDefault="000D3135" w:rsidP="000D3135">
      <w:pPr>
        <w:pStyle w:val="head"/>
        <w:jc w:val="both"/>
        <w:rPr>
          <w:rFonts w:ascii="Arial" w:hAnsi="Arial" w:cs="Arial"/>
          <w:b/>
          <w:bCs/>
          <w:color w:val="000000"/>
          <w:sz w:val="20"/>
          <w:szCs w:val="20"/>
        </w:rPr>
      </w:pPr>
      <w:r>
        <w:rPr>
          <w:rFonts w:ascii="Arial" w:hAnsi="Arial" w:cs="Arial"/>
          <w:b/>
          <w:bCs/>
          <w:color w:val="000000"/>
          <w:sz w:val="20"/>
          <w:szCs w:val="20"/>
        </w:rPr>
        <w:t>Central Payments Fraud Information Registry – Migration of Reporting to DAKSH</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1" w:tgtFrame="_blank" w:history="1">
        <w:r>
          <w:rPr>
            <w:rStyle w:val="Hyperlink"/>
            <w:rFonts w:ascii="Arial" w:hAnsi="Arial" w:cs="Arial"/>
            <w:sz w:val="20"/>
            <w:szCs w:val="20"/>
          </w:rPr>
          <w:t>Monetary Policy Statement 2019-20 on August 07, 2019</w:t>
        </w:r>
      </w:hyperlink>
      <w:r>
        <w:rPr>
          <w:rFonts w:ascii="Arial" w:hAnsi="Arial" w:cs="Arial"/>
          <w:color w:val="000000"/>
          <w:sz w:val="20"/>
          <w:szCs w:val="20"/>
        </w:rPr>
        <w:t>, the Reserve Bank of India (RBI) had operationalised the Central Payments Fraud Information Registry (CPFIR) in March 2020 with reporting of payment frauds by scheduled commercial banks and non-bank Prepaid Payment Instrument (PPI) issuers.</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2. To streamline reporting, enhance efficiency and automate the payments fraud management process, the fraud reporting module is being migrated to </w:t>
      </w:r>
      <w:hyperlink r:id="rId12" w:anchor="/login" w:tgtFrame="_blank" w:history="1">
        <w:r>
          <w:rPr>
            <w:rStyle w:val="Hyperlink"/>
            <w:rFonts w:ascii="Arial" w:hAnsi="Arial" w:cs="Arial"/>
            <w:sz w:val="20"/>
            <w:szCs w:val="20"/>
          </w:rPr>
          <w:t>DAKSH – Reserve Bank’s Advanced Supervisory Monitoring System</w:t>
        </w:r>
      </w:hyperlink>
      <w:r>
        <w:rPr>
          <w:rFonts w:ascii="Arial" w:hAnsi="Arial" w:cs="Arial"/>
          <w:color w:val="000000"/>
          <w:sz w:val="20"/>
          <w:szCs w:val="20"/>
        </w:rPr>
        <w:t>. The migration will be effective from </w:t>
      </w:r>
      <w:r>
        <w:rPr>
          <w:rStyle w:val="head1"/>
          <w:rFonts w:ascii="Arial" w:hAnsi="Arial" w:cs="Arial"/>
          <w:b/>
          <w:bCs/>
          <w:color w:val="000000"/>
          <w:sz w:val="20"/>
          <w:szCs w:val="20"/>
        </w:rPr>
        <w:t>January 01, 2023</w:t>
      </w:r>
      <w:r>
        <w:rPr>
          <w:rFonts w:ascii="Arial" w:hAnsi="Arial" w:cs="Arial"/>
          <w:color w:val="000000"/>
          <w:sz w:val="20"/>
          <w:szCs w:val="20"/>
        </w:rPr>
        <w:t>, i.e., entities shall commence reporting of payment frauds in DAKSH from this date. In addition to the existing bulk upload facility to report payment frauds, DAKSH provides additional functionalities, viz. maker-checker facility, online screen-based reporting, option for requesting additional information, facility to issue alerts / advisories, generation of dashboards and reports, etc. The reporting guidelines are mentioned in the </w:t>
      </w:r>
      <w:hyperlink r:id="rId13" w:anchor="AN1" w:history="1">
        <w:r>
          <w:rPr>
            <w:rStyle w:val="Hyperlink"/>
            <w:rFonts w:ascii="Arial" w:hAnsi="Arial" w:cs="Arial"/>
            <w:sz w:val="20"/>
            <w:szCs w:val="20"/>
          </w:rPr>
          <w:t>Annex</w:t>
        </w:r>
      </w:hyperlink>
      <w:r>
        <w:rPr>
          <w:rFonts w:ascii="Arial" w:hAnsi="Arial" w:cs="Arial"/>
          <w:color w:val="000000"/>
          <w:sz w:val="20"/>
          <w:szCs w:val="20"/>
        </w:rPr>
        <w:t>.</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3. These directions are issued under Section 10 (2) read with Section 18 of Payment and settlement Systems Act, 2007 (Act 51 of 2007).</w:t>
      </w:r>
    </w:p>
    <w:p w:rsidR="000D3135" w:rsidRDefault="000D3135" w:rsidP="000D3135">
      <w:pPr>
        <w:pStyle w:val="NormalWeb"/>
        <w:jc w:val="both"/>
        <w:rPr>
          <w:rFonts w:ascii="Arial" w:hAnsi="Arial" w:cs="Arial"/>
          <w:color w:val="000000"/>
          <w:sz w:val="20"/>
          <w:szCs w:val="20"/>
        </w:rPr>
      </w:pPr>
      <w:r>
        <w:rPr>
          <w:rFonts w:ascii="Arial" w:hAnsi="Arial" w:cs="Arial"/>
          <w:color w:val="000000"/>
          <w:sz w:val="20"/>
          <w:szCs w:val="20"/>
        </w:rPr>
        <w:t>Yours faithfully,</w:t>
      </w:r>
    </w:p>
    <w:p w:rsidR="000D3135" w:rsidRDefault="000D3135" w:rsidP="000D3135">
      <w:pPr>
        <w:pStyle w:val="NormalWeb"/>
        <w:rPr>
          <w:rFonts w:ascii="Arial" w:hAnsi="Arial" w:cs="Arial"/>
          <w:color w:val="000000"/>
          <w:sz w:val="20"/>
          <w:szCs w:val="20"/>
        </w:rPr>
      </w:pPr>
      <w:r>
        <w:rPr>
          <w:rFonts w:ascii="Arial" w:hAnsi="Arial" w:cs="Arial"/>
          <w:color w:val="000000"/>
          <w:sz w:val="20"/>
          <w:szCs w:val="20"/>
        </w:rPr>
        <w:t xml:space="preserve">(P. </w:t>
      </w:r>
      <w:proofErr w:type="spellStart"/>
      <w:r>
        <w:rPr>
          <w:rFonts w:ascii="Arial" w:hAnsi="Arial" w:cs="Arial"/>
          <w:color w:val="000000"/>
          <w:sz w:val="20"/>
          <w:szCs w:val="20"/>
        </w:rPr>
        <w:t>Vasudevan</w:t>
      </w:r>
      <w:proofErr w:type="spellEnd"/>
      <w:r>
        <w:rPr>
          <w:rFonts w:ascii="Arial" w:hAnsi="Arial" w:cs="Arial"/>
          <w:color w:val="000000"/>
          <w:sz w:val="20"/>
          <w:szCs w:val="20"/>
        </w:rPr>
        <w:t>)</w:t>
      </w:r>
      <w:r>
        <w:rPr>
          <w:rFonts w:ascii="Arial" w:hAnsi="Arial" w:cs="Arial"/>
          <w:color w:val="000000"/>
          <w:sz w:val="20"/>
          <w:szCs w:val="20"/>
        </w:rPr>
        <w:br/>
        <w:t>Chief General Manager</w:t>
      </w:r>
    </w:p>
    <w:p w:rsidR="000D3135" w:rsidRDefault="000D3135" w:rsidP="000D3135">
      <w:pPr>
        <w:spacing w:line="259" w:lineRule="auto"/>
        <w:rPr>
          <w:rFonts w:ascii="Arial" w:hAnsi="Arial" w:cs="Arial"/>
          <w:sz w:val="20"/>
          <w:szCs w:val="20"/>
        </w:rPr>
      </w:pPr>
    </w:p>
    <w:p w:rsidR="000D3135" w:rsidRDefault="000D3135" w:rsidP="000D3135">
      <w:pPr>
        <w:spacing w:line="259" w:lineRule="auto"/>
        <w:rPr>
          <w:rFonts w:ascii="Arial" w:hAnsi="Arial" w:cs="Arial"/>
          <w:sz w:val="20"/>
          <w:szCs w:val="20"/>
        </w:rPr>
      </w:pPr>
    </w:p>
    <w:p w:rsidR="000D3135" w:rsidRDefault="000D3135" w:rsidP="000D3135">
      <w:r>
        <w:t>More details can be referred to in the below link.</w:t>
      </w:r>
    </w:p>
    <w:p w:rsidR="000D3135" w:rsidRDefault="000D3135" w:rsidP="000D3135">
      <w:pPr>
        <w:spacing w:line="259" w:lineRule="auto"/>
        <w:rPr>
          <w:rFonts w:ascii="Arial" w:hAnsi="Arial" w:cs="Arial"/>
          <w:bCs/>
          <w:color w:val="000000"/>
          <w:sz w:val="20"/>
          <w:szCs w:val="20"/>
        </w:rPr>
      </w:pPr>
      <w:r>
        <w:rPr>
          <w:rFonts w:ascii="Arial" w:hAnsi="Arial" w:cs="Arial"/>
          <w:bCs/>
          <w:color w:val="000000"/>
          <w:sz w:val="20"/>
          <w:szCs w:val="20"/>
        </w:rPr>
        <w:t xml:space="preserve">Reference Link: </w:t>
      </w:r>
      <w:hyperlink r:id="rId14" w:history="1">
        <w:r w:rsidRPr="00B27270">
          <w:rPr>
            <w:rStyle w:val="Hyperlink"/>
            <w:rFonts w:ascii="Arial" w:hAnsi="Arial" w:cs="Arial"/>
            <w:bCs/>
            <w:sz w:val="20"/>
            <w:szCs w:val="20"/>
          </w:rPr>
          <w:t>https://m.rbi.org.in/scripts/FS_Notification.aspx?Id=12431&amp;fn=9&amp;Mode=0</w:t>
        </w:r>
      </w:hyperlink>
    </w:p>
    <w:p w:rsidR="000D3135" w:rsidRDefault="000D3135" w:rsidP="00DE6119">
      <w:pPr>
        <w:spacing w:line="259" w:lineRule="auto"/>
        <w:rPr>
          <w:rFonts w:ascii="Arial" w:hAnsi="Arial" w:cs="Arial"/>
          <w:bCs/>
          <w:color w:val="000000"/>
          <w:sz w:val="20"/>
          <w:szCs w:val="20"/>
        </w:rPr>
      </w:pPr>
    </w:p>
    <w:sectPr w:rsidR="000D31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88F"/>
    <w:multiLevelType w:val="multilevel"/>
    <w:tmpl w:val="4B72A3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8E025F9"/>
    <w:multiLevelType w:val="multilevel"/>
    <w:tmpl w:val="E3108F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DEE1848"/>
    <w:multiLevelType w:val="multilevel"/>
    <w:tmpl w:val="7EFE66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 w15:restartNumberingAfterBreak="0">
    <w:nsid w:val="0FE91410"/>
    <w:multiLevelType w:val="multilevel"/>
    <w:tmpl w:val="C6E82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1BF0048"/>
    <w:multiLevelType w:val="multilevel"/>
    <w:tmpl w:val="D9B0B3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2B1550F"/>
    <w:multiLevelType w:val="multilevel"/>
    <w:tmpl w:val="AECA1D5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15:restartNumberingAfterBreak="0">
    <w:nsid w:val="1C1460AC"/>
    <w:multiLevelType w:val="multilevel"/>
    <w:tmpl w:val="F77ABC2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E3167B8"/>
    <w:multiLevelType w:val="multilevel"/>
    <w:tmpl w:val="96ACE0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DC1B6B"/>
    <w:multiLevelType w:val="multilevel"/>
    <w:tmpl w:val="421C98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0824147"/>
    <w:multiLevelType w:val="multilevel"/>
    <w:tmpl w:val="EFB0C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12E110C"/>
    <w:multiLevelType w:val="multilevel"/>
    <w:tmpl w:val="5B24E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90732"/>
    <w:multiLevelType w:val="multilevel"/>
    <w:tmpl w:val="5AA4B46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B826247"/>
    <w:multiLevelType w:val="multilevel"/>
    <w:tmpl w:val="12EAFDF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1925B4C"/>
    <w:multiLevelType w:val="multilevel"/>
    <w:tmpl w:val="9E0CA3B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4" w15:restartNumberingAfterBreak="0">
    <w:nsid w:val="334A636F"/>
    <w:multiLevelType w:val="multilevel"/>
    <w:tmpl w:val="AAA05FB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357D4582"/>
    <w:multiLevelType w:val="multilevel"/>
    <w:tmpl w:val="94005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62A33A4"/>
    <w:multiLevelType w:val="multilevel"/>
    <w:tmpl w:val="BBD456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7" w15:restartNumberingAfterBreak="0">
    <w:nsid w:val="3D1C0D25"/>
    <w:multiLevelType w:val="multilevel"/>
    <w:tmpl w:val="E26E2F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8" w15:restartNumberingAfterBreak="0">
    <w:nsid w:val="3F2418FB"/>
    <w:multiLevelType w:val="multilevel"/>
    <w:tmpl w:val="0C0A29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33C2382"/>
    <w:multiLevelType w:val="multilevel"/>
    <w:tmpl w:val="E708D8A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4F8E310F"/>
    <w:multiLevelType w:val="multilevel"/>
    <w:tmpl w:val="7B2CB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05E7C06"/>
    <w:multiLevelType w:val="multilevel"/>
    <w:tmpl w:val="8592D6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1EE5FA6"/>
    <w:multiLevelType w:val="multilevel"/>
    <w:tmpl w:val="36EEA8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3" w15:restartNumberingAfterBreak="0">
    <w:nsid w:val="59AC63D0"/>
    <w:multiLevelType w:val="hybridMultilevel"/>
    <w:tmpl w:val="01961D3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4" w15:restartNumberingAfterBreak="0">
    <w:nsid w:val="5A00010F"/>
    <w:multiLevelType w:val="multilevel"/>
    <w:tmpl w:val="A72CC1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D2B74A0"/>
    <w:multiLevelType w:val="multilevel"/>
    <w:tmpl w:val="F9CA65CC"/>
    <w:lvl w:ilvl="0">
      <w:start w:val="1"/>
      <w:numFmt w:val="lowerLetter"/>
      <w:lvlText w:val="%1."/>
      <w:lvlJc w:val="left"/>
      <w:pPr>
        <w:tabs>
          <w:tab w:val="num" w:pos="3240"/>
        </w:tabs>
        <w:ind w:left="3240" w:hanging="360"/>
      </w:pPr>
    </w:lvl>
    <w:lvl w:ilvl="1" w:tentative="1">
      <w:start w:val="1"/>
      <w:numFmt w:val="lowerLetter"/>
      <w:lvlText w:val="%2."/>
      <w:lvlJc w:val="left"/>
      <w:pPr>
        <w:tabs>
          <w:tab w:val="num" w:pos="3960"/>
        </w:tabs>
        <w:ind w:left="3960" w:hanging="360"/>
      </w:pPr>
    </w:lvl>
    <w:lvl w:ilvl="2" w:tentative="1">
      <w:start w:val="1"/>
      <w:numFmt w:val="lowerLetter"/>
      <w:lvlText w:val="%3."/>
      <w:lvlJc w:val="left"/>
      <w:pPr>
        <w:tabs>
          <w:tab w:val="num" w:pos="4680"/>
        </w:tabs>
        <w:ind w:left="4680" w:hanging="360"/>
      </w:pPr>
    </w:lvl>
    <w:lvl w:ilvl="3" w:tentative="1">
      <w:start w:val="1"/>
      <w:numFmt w:val="lowerLetter"/>
      <w:lvlText w:val="%4."/>
      <w:lvlJc w:val="left"/>
      <w:pPr>
        <w:tabs>
          <w:tab w:val="num" w:pos="5400"/>
        </w:tabs>
        <w:ind w:left="5400" w:hanging="360"/>
      </w:pPr>
    </w:lvl>
    <w:lvl w:ilvl="4" w:tentative="1">
      <w:start w:val="1"/>
      <w:numFmt w:val="lowerLetter"/>
      <w:lvlText w:val="%5."/>
      <w:lvlJc w:val="left"/>
      <w:pPr>
        <w:tabs>
          <w:tab w:val="num" w:pos="6120"/>
        </w:tabs>
        <w:ind w:left="6120" w:hanging="360"/>
      </w:pPr>
    </w:lvl>
    <w:lvl w:ilvl="5" w:tentative="1">
      <w:start w:val="1"/>
      <w:numFmt w:val="lowerLetter"/>
      <w:lvlText w:val="%6."/>
      <w:lvlJc w:val="left"/>
      <w:pPr>
        <w:tabs>
          <w:tab w:val="num" w:pos="6840"/>
        </w:tabs>
        <w:ind w:left="6840" w:hanging="360"/>
      </w:pPr>
    </w:lvl>
    <w:lvl w:ilvl="6" w:tentative="1">
      <w:start w:val="1"/>
      <w:numFmt w:val="lowerLetter"/>
      <w:lvlText w:val="%7."/>
      <w:lvlJc w:val="left"/>
      <w:pPr>
        <w:tabs>
          <w:tab w:val="num" w:pos="7560"/>
        </w:tabs>
        <w:ind w:left="7560" w:hanging="360"/>
      </w:pPr>
    </w:lvl>
    <w:lvl w:ilvl="7" w:tentative="1">
      <w:start w:val="1"/>
      <w:numFmt w:val="lowerLetter"/>
      <w:lvlText w:val="%8."/>
      <w:lvlJc w:val="left"/>
      <w:pPr>
        <w:tabs>
          <w:tab w:val="num" w:pos="8280"/>
        </w:tabs>
        <w:ind w:left="8280" w:hanging="360"/>
      </w:pPr>
    </w:lvl>
    <w:lvl w:ilvl="8" w:tentative="1">
      <w:start w:val="1"/>
      <w:numFmt w:val="lowerLetter"/>
      <w:lvlText w:val="%9."/>
      <w:lvlJc w:val="left"/>
      <w:pPr>
        <w:tabs>
          <w:tab w:val="num" w:pos="9000"/>
        </w:tabs>
        <w:ind w:left="9000" w:hanging="360"/>
      </w:pPr>
    </w:lvl>
  </w:abstractNum>
  <w:abstractNum w:abstractNumId="26" w15:restartNumberingAfterBreak="0">
    <w:nsid w:val="5D333C26"/>
    <w:multiLevelType w:val="multilevel"/>
    <w:tmpl w:val="9CA4C1C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27" w15:restartNumberingAfterBreak="0">
    <w:nsid w:val="64E15E3A"/>
    <w:multiLevelType w:val="multilevel"/>
    <w:tmpl w:val="495A5F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78FC2A94"/>
    <w:multiLevelType w:val="multilevel"/>
    <w:tmpl w:val="3808D5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25"/>
  </w:num>
  <w:num w:numId="7">
    <w:abstractNumId w:val="20"/>
  </w:num>
  <w:num w:numId="8">
    <w:abstractNumId w:val="1"/>
  </w:num>
  <w:num w:numId="9">
    <w:abstractNumId w:val="0"/>
  </w:num>
  <w:num w:numId="10">
    <w:abstractNumId w:val="14"/>
  </w:num>
  <w:num w:numId="11">
    <w:abstractNumId w:val="12"/>
  </w:num>
  <w:num w:numId="12">
    <w:abstractNumId w:val="2"/>
  </w:num>
  <w:num w:numId="13">
    <w:abstractNumId w:val="11"/>
  </w:num>
  <w:num w:numId="14">
    <w:abstractNumId w:val="19"/>
  </w:num>
  <w:num w:numId="15">
    <w:abstractNumId w:val="27"/>
  </w:num>
  <w:num w:numId="16">
    <w:abstractNumId w:val="3"/>
  </w:num>
  <w:num w:numId="17">
    <w:abstractNumId w:val="16"/>
  </w:num>
  <w:num w:numId="18">
    <w:abstractNumId w:val="10"/>
  </w:num>
  <w:num w:numId="19">
    <w:abstractNumId w:val="9"/>
  </w:num>
  <w:num w:numId="20">
    <w:abstractNumId w:val="15"/>
  </w:num>
  <w:num w:numId="21">
    <w:abstractNumId w:val="8"/>
  </w:num>
  <w:num w:numId="22">
    <w:abstractNumId w:val="24"/>
  </w:num>
  <w:num w:numId="23">
    <w:abstractNumId w:val="6"/>
  </w:num>
  <w:num w:numId="24">
    <w:abstractNumId w:val="13"/>
  </w:num>
  <w:num w:numId="25">
    <w:abstractNumId w:val="5"/>
  </w:num>
  <w:num w:numId="26">
    <w:abstractNumId w:val="21"/>
  </w:num>
  <w:num w:numId="27">
    <w:abstractNumId w:val="4"/>
  </w:num>
  <w:num w:numId="28">
    <w:abstractNumId w:val="18"/>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E6D"/>
    <w:rsid w:val="00006E6D"/>
    <w:rsid w:val="0001134A"/>
    <w:rsid w:val="00047CD5"/>
    <w:rsid w:val="00066AD4"/>
    <w:rsid w:val="00083374"/>
    <w:rsid w:val="000D3135"/>
    <w:rsid w:val="000F6CB6"/>
    <w:rsid w:val="00121B22"/>
    <w:rsid w:val="00147837"/>
    <w:rsid w:val="00166E3C"/>
    <w:rsid w:val="001B0D06"/>
    <w:rsid w:val="001E7AD4"/>
    <w:rsid w:val="001F219E"/>
    <w:rsid w:val="002313C4"/>
    <w:rsid w:val="00245B30"/>
    <w:rsid w:val="002A3764"/>
    <w:rsid w:val="002C55B6"/>
    <w:rsid w:val="00435B25"/>
    <w:rsid w:val="00436D36"/>
    <w:rsid w:val="0045114B"/>
    <w:rsid w:val="004D6B44"/>
    <w:rsid w:val="004E718A"/>
    <w:rsid w:val="00581BDE"/>
    <w:rsid w:val="00583041"/>
    <w:rsid w:val="005A38FC"/>
    <w:rsid w:val="005D5DB2"/>
    <w:rsid w:val="00645D84"/>
    <w:rsid w:val="0068363E"/>
    <w:rsid w:val="006C5648"/>
    <w:rsid w:val="00706A14"/>
    <w:rsid w:val="00744532"/>
    <w:rsid w:val="008462A3"/>
    <w:rsid w:val="0085415B"/>
    <w:rsid w:val="00912551"/>
    <w:rsid w:val="009126BF"/>
    <w:rsid w:val="009B54D0"/>
    <w:rsid w:val="009F305B"/>
    <w:rsid w:val="00A32EAB"/>
    <w:rsid w:val="00A410BB"/>
    <w:rsid w:val="00A76041"/>
    <w:rsid w:val="00B1420D"/>
    <w:rsid w:val="00B46998"/>
    <w:rsid w:val="00B71788"/>
    <w:rsid w:val="00BF2165"/>
    <w:rsid w:val="00C754F7"/>
    <w:rsid w:val="00C8671B"/>
    <w:rsid w:val="00C93B49"/>
    <w:rsid w:val="00CE14AF"/>
    <w:rsid w:val="00CF0868"/>
    <w:rsid w:val="00CF340B"/>
    <w:rsid w:val="00DB76CD"/>
    <w:rsid w:val="00DE227F"/>
    <w:rsid w:val="00DE6119"/>
    <w:rsid w:val="00E0459A"/>
    <w:rsid w:val="00EC5CE1"/>
    <w:rsid w:val="00EC7DEE"/>
    <w:rsid w:val="00FB49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2AD4"/>
  <w15:chartTrackingRefBased/>
  <w15:docId w15:val="{237EF2D5-A44F-4913-B195-C42A7C642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16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165"/>
    <w:rPr>
      <w:color w:val="0000FF"/>
      <w:u w:val="single"/>
    </w:rPr>
  </w:style>
  <w:style w:type="paragraph" w:styleId="NormalWeb">
    <w:name w:val="Normal (Web)"/>
    <w:basedOn w:val="Normal"/>
    <w:uiPriority w:val="99"/>
    <w:unhideWhenUsed/>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F2165"/>
    <w:pPr>
      <w:ind w:left="720"/>
      <w:contextualSpacing/>
    </w:pPr>
  </w:style>
  <w:style w:type="paragraph" w:customStyle="1" w:styleId="head">
    <w:name w:val="head"/>
    <w:basedOn w:val="Normal"/>
    <w:rsid w:val="00BF216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BF216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1">
    <w:name w:val="head1"/>
    <w:basedOn w:val="DefaultParagraphFont"/>
    <w:rsid w:val="001E7AD4"/>
  </w:style>
  <w:style w:type="paragraph" w:styleId="NoSpacing">
    <w:name w:val="No Spacing"/>
    <w:uiPriority w:val="1"/>
    <w:qFormat/>
    <w:rsid w:val="000F6C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898">
      <w:bodyDiv w:val="1"/>
      <w:marLeft w:val="0"/>
      <w:marRight w:val="0"/>
      <w:marTop w:val="0"/>
      <w:marBottom w:val="0"/>
      <w:divBdr>
        <w:top w:val="none" w:sz="0" w:space="0" w:color="auto"/>
        <w:left w:val="none" w:sz="0" w:space="0" w:color="auto"/>
        <w:bottom w:val="none" w:sz="0" w:space="0" w:color="auto"/>
        <w:right w:val="none" w:sz="0" w:space="0" w:color="auto"/>
      </w:divBdr>
    </w:div>
    <w:div w:id="139806540">
      <w:bodyDiv w:val="1"/>
      <w:marLeft w:val="0"/>
      <w:marRight w:val="0"/>
      <w:marTop w:val="0"/>
      <w:marBottom w:val="0"/>
      <w:divBdr>
        <w:top w:val="none" w:sz="0" w:space="0" w:color="auto"/>
        <w:left w:val="none" w:sz="0" w:space="0" w:color="auto"/>
        <w:bottom w:val="none" w:sz="0" w:space="0" w:color="auto"/>
        <w:right w:val="none" w:sz="0" w:space="0" w:color="auto"/>
      </w:divBdr>
    </w:div>
    <w:div w:id="164829666">
      <w:bodyDiv w:val="1"/>
      <w:marLeft w:val="0"/>
      <w:marRight w:val="0"/>
      <w:marTop w:val="0"/>
      <w:marBottom w:val="0"/>
      <w:divBdr>
        <w:top w:val="none" w:sz="0" w:space="0" w:color="auto"/>
        <w:left w:val="none" w:sz="0" w:space="0" w:color="auto"/>
        <w:bottom w:val="none" w:sz="0" w:space="0" w:color="auto"/>
        <w:right w:val="none" w:sz="0" w:space="0" w:color="auto"/>
      </w:divBdr>
    </w:div>
    <w:div w:id="174346286">
      <w:bodyDiv w:val="1"/>
      <w:marLeft w:val="0"/>
      <w:marRight w:val="0"/>
      <w:marTop w:val="0"/>
      <w:marBottom w:val="0"/>
      <w:divBdr>
        <w:top w:val="none" w:sz="0" w:space="0" w:color="auto"/>
        <w:left w:val="none" w:sz="0" w:space="0" w:color="auto"/>
        <w:bottom w:val="none" w:sz="0" w:space="0" w:color="auto"/>
        <w:right w:val="none" w:sz="0" w:space="0" w:color="auto"/>
      </w:divBdr>
    </w:div>
    <w:div w:id="214238029">
      <w:bodyDiv w:val="1"/>
      <w:marLeft w:val="0"/>
      <w:marRight w:val="0"/>
      <w:marTop w:val="0"/>
      <w:marBottom w:val="0"/>
      <w:divBdr>
        <w:top w:val="none" w:sz="0" w:space="0" w:color="auto"/>
        <w:left w:val="none" w:sz="0" w:space="0" w:color="auto"/>
        <w:bottom w:val="none" w:sz="0" w:space="0" w:color="auto"/>
        <w:right w:val="none" w:sz="0" w:space="0" w:color="auto"/>
      </w:divBdr>
    </w:div>
    <w:div w:id="253173397">
      <w:bodyDiv w:val="1"/>
      <w:marLeft w:val="0"/>
      <w:marRight w:val="0"/>
      <w:marTop w:val="0"/>
      <w:marBottom w:val="0"/>
      <w:divBdr>
        <w:top w:val="none" w:sz="0" w:space="0" w:color="auto"/>
        <w:left w:val="none" w:sz="0" w:space="0" w:color="auto"/>
        <w:bottom w:val="none" w:sz="0" w:space="0" w:color="auto"/>
        <w:right w:val="none" w:sz="0" w:space="0" w:color="auto"/>
      </w:divBdr>
    </w:div>
    <w:div w:id="281427548">
      <w:bodyDiv w:val="1"/>
      <w:marLeft w:val="0"/>
      <w:marRight w:val="0"/>
      <w:marTop w:val="0"/>
      <w:marBottom w:val="0"/>
      <w:divBdr>
        <w:top w:val="none" w:sz="0" w:space="0" w:color="auto"/>
        <w:left w:val="none" w:sz="0" w:space="0" w:color="auto"/>
        <w:bottom w:val="none" w:sz="0" w:space="0" w:color="auto"/>
        <w:right w:val="none" w:sz="0" w:space="0" w:color="auto"/>
      </w:divBdr>
    </w:div>
    <w:div w:id="290094693">
      <w:bodyDiv w:val="1"/>
      <w:marLeft w:val="0"/>
      <w:marRight w:val="0"/>
      <w:marTop w:val="0"/>
      <w:marBottom w:val="0"/>
      <w:divBdr>
        <w:top w:val="none" w:sz="0" w:space="0" w:color="auto"/>
        <w:left w:val="none" w:sz="0" w:space="0" w:color="auto"/>
        <w:bottom w:val="none" w:sz="0" w:space="0" w:color="auto"/>
        <w:right w:val="none" w:sz="0" w:space="0" w:color="auto"/>
      </w:divBdr>
    </w:div>
    <w:div w:id="334571405">
      <w:bodyDiv w:val="1"/>
      <w:marLeft w:val="0"/>
      <w:marRight w:val="0"/>
      <w:marTop w:val="0"/>
      <w:marBottom w:val="0"/>
      <w:divBdr>
        <w:top w:val="none" w:sz="0" w:space="0" w:color="auto"/>
        <w:left w:val="none" w:sz="0" w:space="0" w:color="auto"/>
        <w:bottom w:val="none" w:sz="0" w:space="0" w:color="auto"/>
        <w:right w:val="none" w:sz="0" w:space="0" w:color="auto"/>
      </w:divBdr>
    </w:div>
    <w:div w:id="337461665">
      <w:bodyDiv w:val="1"/>
      <w:marLeft w:val="0"/>
      <w:marRight w:val="0"/>
      <w:marTop w:val="0"/>
      <w:marBottom w:val="0"/>
      <w:divBdr>
        <w:top w:val="none" w:sz="0" w:space="0" w:color="auto"/>
        <w:left w:val="none" w:sz="0" w:space="0" w:color="auto"/>
        <w:bottom w:val="none" w:sz="0" w:space="0" w:color="auto"/>
        <w:right w:val="none" w:sz="0" w:space="0" w:color="auto"/>
      </w:divBdr>
    </w:div>
    <w:div w:id="339429337">
      <w:bodyDiv w:val="1"/>
      <w:marLeft w:val="0"/>
      <w:marRight w:val="0"/>
      <w:marTop w:val="0"/>
      <w:marBottom w:val="0"/>
      <w:divBdr>
        <w:top w:val="none" w:sz="0" w:space="0" w:color="auto"/>
        <w:left w:val="none" w:sz="0" w:space="0" w:color="auto"/>
        <w:bottom w:val="none" w:sz="0" w:space="0" w:color="auto"/>
        <w:right w:val="none" w:sz="0" w:space="0" w:color="auto"/>
      </w:divBdr>
    </w:div>
    <w:div w:id="354187200">
      <w:bodyDiv w:val="1"/>
      <w:marLeft w:val="0"/>
      <w:marRight w:val="0"/>
      <w:marTop w:val="0"/>
      <w:marBottom w:val="0"/>
      <w:divBdr>
        <w:top w:val="none" w:sz="0" w:space="0" w:color="auto"/>
        <w:left w:val="none" w:sz="0" w:space="0" w:color="auto"/>
        <w:bottom w:val="none" w:sz="0" w:space="0" w:color="auto"/>
        <w:right w:val="none" w:sz="0" w:space="0" w:color="auto"/>
      </w:divBdr>
    </w:div>
    <w:div w:id="502595600">
      <w:bodyDiv w:val="1"/>
      <w:marLeft w:val="0"/>
      <w:marRight w:val="0"/>
      <w:marTop w:val="0"/>
      <w:marBottom w:val="0"/>
      <w:divBdr>
        <w:top w:val="none" w:sz="0" w:space="0" w:color="auto"/>
        <w:left w:val="none" w:sz="0" w:space="0" w:color="auto"/>
        <w:bottom w:val="none" w:sz="0" w:space="0" w:color="auto"/>
        <w:right w:val="none" w:sz="0" w:space="0" w:color="auto"/>
      </w:divBdr>
    </w:div>
    <w:div w:id="504511713">
      <w:bodyDiv w:val="1"/>
      <w:marLeft w:val="0"/>
      <w:marRight w:val="0"/>
      <w:marTop w:val="0"/>
      <w:marBottom w:val="0"/>
      <w:divBdr>
        <w:top w:val="none" w:sz="0" w:space="0" w:color="auto"/>
        <w:left w:val="none" w:sz="0" w:space="0" w:color="auto"/>
        <w:bottom w:val="none" w:sz="0" w:space="0" w:color="auto"/>
        <w:right w:val="none" w:sz="0" w:space="0" w:color="auto"/>
      </w:divBdr>
    </w:div>
    <w:div w:id="514805698">
      <w:bodyDiv w:val="1"/>
      <w:marLeft w:val="0"/>
      <w:marRight w:val="0"/>
      <w:marTop w:val="0"/>
      <w:marBottom w:val="0"/>
      <w:divBdr>
        <w:top w:val="none" w:sz="0" w:space="0" w:color="auto"/>
        <w:left w:val="none" w:sz="0" w:space="0" w:color="auto"/>
        <w:bottom w:val="none" w:sz="0" w:space="0" w:color="auto"/>
        <w:right w:val="none" w:sz="0" w:space="0" w:color="auto"/>
      </w:divBdr>
    </w:div>
    <w:div w:id="534197464">
      <w:bodyDiv w:val="1"/>
      <w:marLeft w:val="0"/>
      <w:marRight w:val="0"/>
      <w:marTop w:val="0"/>
      <w:marBottom w:val="0"/>
      <w:divBdr>
        <w:top w:val="none" w:sz="0" w:space="0" w:color="auto"/>
        <w:left w:val="none" w:sz="0" w:space="0" w:color="auto"/>
        <w:bottom w:val="none" w:sz="0" w:space="0" w:color="auto"/>
        <w:right w:val="none" w:sz="0" w:space="0" w:color="auto"/>
      </w:divBdr>
    </w:div>
    <w:div w:id="556473836">
      <w:bodyDiv w:val="1"/>
      <w:marLeft w:val="0"/>
      <w:marRight w:val="0"/>
      <w:marTop w:val="0"/>
      <w:marBottom w:val="0"/>
      <w:divBdr>
        <w:top w:val="none" w:sz="0" w:space="0" w:color="auto"/>
        <w:left w:val="none" w:sz="0" w:space="0" w:color="auto"/>
        <w:bottom w:val="none" w:sz="0" w:space="0" w:color="auto"/>
        <w:right w:val="none" w:sz="0" w:space="0" w:color="auto"/>
      </w:divBdr>
    </w:div>
    <w:div w:id="565918927">
      <w:bodyDiv w:val="1"/>
      <w:marLeft w:val="0"/>
      <w:marRight w:val="0"/>
      <w:marTop w:val="0"/>
      <w:marBottom w:val="0"/>
      <w:divBdr>
        <w:top w:val="none" w:sz="0" w:space="0" w:color="auto"/>
        <w:left w:val="none" w:sz="0" w:space="0" w:color="auto"/>
        <w:bottom w:val="none" w:sz="0" w:space="0" w:color="auto"/>
        <w:right w:val="none" w:sz="0" w:space="0" w:color="auto"/>
      </w:divBdr>
    </w:div>
    <w:div w:id="631910607">
      <w:bodyDiv w:val="1"/>
      <w:marLeft w:val="0"/>
      <w:marRight w:val="0"/>
      <w:marTop w:val="0"/>
      <w:marBottom w:val="0"/>
      <w:divBdr>
        <w:top w:val="none" w:sz="0" w:space="0" w:color="auto"/>
        <w:left w:val="none" w:sz="0" w:space="0" w:color="auto"/>
        <w:bottom w:val="none" w:sz="0" w:space="0" w:color="auto"/>
        <w:right w:val="none" w:sz="0" w:space="0" w:color="auto"/>
      </w:divBdr>
    </w:div>
    <w:div w:id="632172511">
      <w:bodyDiv w:val="1"/>
      <w:marLeft w:val="0"/>
      <w:marRight w:val="0"/>
      <w:marTop w:val="0"/>
      <w:marBottom w:val="0"/>
      <w:divBdr>
        <w:top w:val="none" w:sz="0" w:space="0" w:color="auto"/>
        <w:left w:val="none" w:sz="0" w:space="0" w:color="auto"/>
        <w:bottom w:val="none" w:sz="0" w:space="0" w:color="auto"/>
        <w:right w:val="none" w:sz="0" w:space="0" w:color="auto"/>
      </w:divBdr>
    </w:div>
    <w:div w:id="638805484">
      <w:bodyDiv w:val="1"/>
      <w:marLeft w:val="0"/>
      <w:marRight w:val="0"/>
      <w:marTop w:val="0"/>
      <w:marBottom w:val="0"/>
      <w:divBdr>
        <w:top w:val="none" w:sz="0" w:space="0" w:color="auto"/>
        <w:left w:val="none" w:sz="0" w:space="0" w:color="auto"/>
        <w:bottom w:val="none" w:sz="0" w:space="0" w:color="auto"/>
        <w:right w:val="none" w:sz="0" w:space="0" w:color="auto"/>
      </w:divBdr>
    </w:div>
    <w:div w:id="639575624">
      <w:bodyDiv w:val="1"/>
      <w:marLeft w:val="0"/>
      <w:marRight w:val="0"/>
      <w:marTop w:val="0"/>
      <w:marBottom w:val="0"/>
      <w:divBdr>
        <w:top w:val="none" w:sz="0" w:space="0" w:color="auto"/>
        <w:left w:val="none" w:sz="0" w:space="0" w:color="auto"/>
        <w:bottom w:val="none" w:sz="0" w:space="0" w:color="auto"/>
        <w:right w:val="none" w:sz="0" w:space="0" w:color="auto"/>
      </w:divBdr>
    </w:div>
    <w:div w:id="661544658">
      <w:bodyDiv w:val="1"/>
      <w:marLeft w:val="0"/>
      <w:marRight w:val="0"/>
      <w:marTop w:val="0"/>
      <w:marBottom w:val="0"/>
      <w:divBdr>
        <w:top w:val="none" w:sz="0" w:space="0" w:color="auto"/>
        <w:left w:val="none" w:sz="0" w:space="0" w:color="auto"/>
        <w:bottom w:val="none" w:sz="0" w:space="0" w:color="auto"/>
        <w:right w:val="none" w:sz="0" w:space="0" w:color="auto"/>
      </w:divBdr>
    </w:div>
    <w:div w:id="674184569">
      <w:bodyDiv w:val="1"/>
      <w:marLeft w:val="0"/>
      <w:marRight w:val="0"/>
      <w:marTop w:val="0"/>
      <w:marBottom w:val="0"/>
      <w:divBdr>
        <w:top w:val="none" w:sz="0" w:space="0" w:color="auto"/>
        <w:left w:val="none" w:sz="0" w:space="0" w:color="auto"/>
        <w:bottom w:val="none" w:sz="0" w:space="0" w:color="auto"/>
        <w:right w:val="none" w:sz="0" w:space="0" w:color="auto"/>
      </w:divBdr>
    </w:div>
    <w:div w:id="697195265">
      <w:bodyDiv w:val="1"/>
      <w:marLeft w:val="0"/>
      <w:marRight w:val="0"/>
      <w:marTop w:val="0"/>
      <w:marBottom w:val="0"/>
      <w:divBdr>
        <w:top w:val="none" w:sz="0" w:space="0" w:color="auto"/>
        <w:left w:val="none" w:sz="0" w:space="0" w:color="auto"/>
        <w:bottom w:val="none" w:sz="0" w:space="0" w:color="auto"/>
        <w:right w:val="none" w:sz="0" w:space="0" w:color="auto"/>
      </w:divBdr>
    </w:div>
    <w:div w:id="713121895">
      <w:bodyDiv w:val="1"/>
      <w:marLeft w:val="0"/>
      <w:marRight w:val="0"/>
      <w:marTop w:val="0"/>
      <w:marBottom w:val="0"/>
      <w:divBdr>
        <w:top w:val="none" w:sz="0" w:space="0" w:color="auto"/>
        <w:left w:val="none" w:sz="0" w:space="0" w:color="auto"/>
        <w:bottom w:val="none" w:sz="0" w:space="0" w:color="auto"/>
        <w:right w:val="none" w:sz="0" w:space="0" w:color="auto"/>
      </w:divBdr>
    </w:div>
    <w:div w:id="715006577">
      <w:bodyDiv w:val="1"/>
      <w:marLeft w:val="0"/>
      <w:marRight w:val="0"/>
      <w:marTop w:val="0"/>
      <w:marBottom w:val="0"/>
      <w:divBdr>
        <w:top w:val="none" w:sz="0" w:space="0" w:color="auto"/>
        <w:left w:val="none" w:sz="0" w:space="0" w:color="auto"/>
        <w:bottom w:val="none" w:sz="0" w:space="0" w:color="auto"/>
        <w:right w:val="none" w:sz="0" w:space="0" w:color="auto"/>
      </w:divBdr>
    </w:div>
    <w:div w:id="753631214">
      <w:bodyDiv w:val="1"/>
      <w:marLeft w:val="0"/>
      <w:marRight w:val="0"/>
      <w:marTop w:val="0"/>
      <w:marBottom w:val="0"/>
      <w:divBdr>
        <w:top w:val="none" w:sz="0" w:space="0" w:color="auto"/>
        <w:left w:val="none" w:sz="0" w:space="0" w:color="auto"/>
        <w:bottom w:val="none" w:sz="0" w:space="0" w:color="auto"/>
        <w:right w:val="none" w:sz="0" w:space="0" w:color="auto"/>
      </w:divBdr>
    </w:div>
    <w:div w:id="761729238">
      <w:bodyDiv w:val="1"/>
      <w:marLeft w:val="0"/>
      <w:marRight w:val="0"/>
      <w:marTop w:val="0"/>
      <w:marBottom w:val="0"/>
      <w:divBdr>
        <w:top w:val="none" w:sz="0" w:space="0" w:color="auto"/>
        <w:left w:val="none" w:sz="0" w:space="0" w:color="auto"/>
        <w:bottom w:val="none" w:sz="0" w:space="0" w:color="auto"/>
        <w:right w:val="none" w:sz="0" w:space="0" w:color="auto"/>
      </w:divBdr>
    </w:div>
    <w:div w:id="765225938">
      <w:bodyDiv w:val="1"/>
      <w:marLeft w:val="0"/>
      <w:marRight w:val="0"/>
      <w:marTop w:val="0"/>
      <w:marBottom w:val="0"/>
      <w:divBdr>
        <w:top w:val="none" w:sz="0" w:space="0" w:color="auto"/>
        <w:left w:val="none" w:sz="0" w:space="0" w:color="auto"/>
        <w:bottom w:val="none" w:sz="0" w:space="0" w:color="auto"/>
        <w:right w:val="none" w:sz="0" w:space="0" w:color="auto"/>
      </w:divBdr>
    </w:div>
    <w:div w:id="787315246">
      <w:bodyDiv w:val="1"/>
      <w:marLeft w:val="0"/>
      <w:marRight w:val="0"/>
      <w:marTop w:val="0"/>
      <w:marBottom w:val="0"/>
      <w:divBdr>
        <w:top w:val="none" w:sz="0" w:space="0" w:color="auto"/>
        <w:left w:val="none" w:sz="0" w:space="0" w:color="auto"/>
        <w:bottom w:val="none" w:sz="0" w:space="0" w:color="auto"/>
        <w:right w:val="none" w:sz="0" w:space="0" w:color="auto"/>
      </w:divBdr>
    </w:div>
    <w:div w:id="837354668">
      <w:bodyDiv w:val="1"/>
      <w:marLeft w:val="0"/>
      <w:marRight w:val="0"/>
      <w:marTop w:val="0"/>
      <w:marBottom w:val="0"/>
      <w:divBdr>
        <w:top w:val="none" w:sz="0" w:space="0" w:color="auto"/>
        <w:left w:val="none" w:sz="0" w:space="0" w:color="auto"/>
        <w:bottom w:val="none" w:sz="0" w:space="0" w:color="auto"/>
        <w:right w:val="none" w:sz="0" w:space="0" w:color="auto"/>
      </w:divBdr>
    </w:div>
    <w:div w:id="837695543">
      <w:bodyDiv w:val="1"/>
      <w:marLeft w:val="0"/>
      <w:marRight w:val="0"/>
      <w:marTop w:val="0"/>
      <w:marBottom w:val="0"/>
      <w:divBdr>
        <w:top w:val="none" w:sz="0" w:space="0" w:color="auto"/>
        <w:left w:val="none" w:sz="0" w:space="0" w:color="auto"/>
        <w:bottom w:val="none" w:sz="0" w:space="0" w:color="auto"/>
        <w:right w:val="none" w:sz="0" w:space="0" w:color="auto"/>
      </w:divBdr>
    </w:div>
    <w:div w:id="849488530">
      <w:bodyDiv w:val="1"/>
      <w:marLeft w:val="0"/>
      <w:marRight w:val="0"/>
      <w:marTop w:val="0"/>
      <w:marBottom w:val="0"/>
      <w:divBdr>
        <w:top w:val="none" w:sz="0" w:space="0" w:color="auto"/>
        <w:left w:val="none" w:sz="0" w:space="0" w:color="auto"/>
        <w:bottom w:val="none" w:sz="0" w:space="0" w:color="auto"/>
        <w:right w:val="none" w:sz="0" w:space="0" w:color="auto"/>
      </w:divBdr>
    </w:div>
    <w:div w:id="861363455">
      <w:bodyDiv w:val="1"/>
      <w:marLeft w:val="0"/>
      <w:marRight w:val="0"/>
      <w:marTop w:val="0"/>
      <w:marBottom w:val="0"/>
      <w:divBdr>
        <w:top w:val="none" w:sz="0" w:space="0" w:color="auto"/>
        <w:left w:val="none" w:sz="0" w:space="0" w:color="auto"/>
        <w:bottom w:val="none" w:sz="0" w:space="0" w:color="auto"/>
        <w:right w:val="none" w:sz="0" w:space="0" w:color="auto"/>
      </w:divBdr>
    </w:div>
    <w:div w:id="886986807">
      <w:bodyDiv w:val="1"/>
      <w:marLeft w:val="0"/>
      <w:marRight w:val="0"/>
      <w:marTop w:val="0"/>
      <w:marBottom w:val="0"/>
      <w:divBdr>
        <w:top w:val="none" w:sz="0" w:space="0" w:color="auto"/>
        <w:left w:val="none" w:sz="0" w:space="0" w:color="auto"/>
        <w:bottom w:val="none" w:sz="0" w:space="0" w:color="auto"/>
        <w:right w:val="none" w:sz="0" w:space="0" w:color="auto"/>
      </w:divBdr>
    </w:div>
    <w:div w:id="907883410">
      <w:bodyDiv w:val="1"/>
      <w:marLeft w:val="0"/>
      <w:marRight w:val="0"/>
      <w:marTop w:val="0"/>
      <w:marBottom w:val="0"/>
      <w:divBdr>
        <w:top w:val="none" w:sz="0" w:space="0" w:color="auto"/>
        <w:left w:val="none" w:sz="0" w:space="0" w:color="auto"/>
        <w:bottom w:val="none" w:sz="0" w:space="0" w:color="auto"/>
        <w:right w:val="none" w:sz="0" w:space="0" w:color="auto"/>
      </w:divBdr>
      <w:divsChild>
        <w:div w:id="1363632254">
          <w:marLeft w:val="150"/>
          <w:marRight w:val="0"/>
          <w:marTop w:val="0"/>
          <w:marBottom w:val="0"/>
          <w:divBdr>
            <w:top w:val="none" w:sz="0" w:space="0" w:color="auto"/>
            <w:left w:val="none" w:sz="0" w:space="0" w:color="auto"/>
            <w:bottom w:val="none" w:sz="0" w:space="0" w:color="auto"/>
            <w:right w:val="single" w:sz="6" w:space="8" w:color="0469A3"/>
          </w:divBdr>
          <w:divsChild>
            <w:div w:id="1719012538">
              <w:marLeft w:val="0"/>
              <w:marRight w:val="0"/>
              <w:marTop w:val="0"/>
              <w:marBottom w:val="0"/>
              <w:divBdr>
                <w:top w:val="none" w:sz="0" w:space="0" w:color="auto"/>
                <w:left w:val="none" w:sz="0" w:space="0" w:color="auto"/>
                <w:bottom w:val="none" w:sz="0" w:space="0" w:color="auto"/>
                <w:right w:val="none" w:sz="0" w:space="0" w:color="auto"/>
              </w:divBdr>
              <w:divsChild>
                <w:div w:id="13684897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937058060">
      <w:bodyDiv w:val="1"/>
      <w:marLeft w:val="0"/>
      <w:marRight w:val="0"/>
      <w:marTop w:val="0"/>
      <w:marBottom w:val="0"/>
      <w:divBdr>
        <w:top w:val="none" w:sz="0" w:space="0" w:color="auto"/>
        <w:left w:val="none" w:sz="0" w:space="0" w:color="auto"/>
        <w:bottom w:val="none" w:sz="0" w:space="0" w:color="auto"/>
        <w:right w:val="none" w:sz="0" w:space="0" w:color="auto"/>
      </w:divBdr>
    </w:div>
    <w:div w:id="996490989">
      <w:bodyDiv w:val="1"/>
      <w:marLeft w:val="0"/>
      <w:marRight w:val="0"/>
      <w:marTop w:val="0"/>
      <w:marBottom w:val="0"/>
      <w:divBdr>
        <w:top w:val="none" w:sz="0" w:space="0" w:color="auto"/>
        <w:left w:val="none" w:sz="0" w:space="0" w:color="auto"/>
        <w:bottom w:val="none" w:sz="0" w:space="0" w:color="auto"/>
        <w:right w:val="none" w:sz="0" w:space="0" w:color="auto"/>
      </w:divBdr>
    </w:div>
    <w:div w:id="998270122">
      <w:bodyDiv w:val="1"/>
      <w:marLeft w:val="0"/>
      <w:marRight w:val="0"/>
      <w:marTop w:val="0"/>
      <w:marBottom w:val="0"/>
      <w:divBdr>
        <w:top w:val="none" w:sz="0" w:space="0" w:color="auto"/>
        <w:left w:val="none" w:sz="0" w:space="0" w:color="auto"/>
        <w:bottom w:val="none" w:sz="0" w:space="0" w:color="auto"/>
        <w:right w:val="none" w:sz="0" w:space="0" w:color="auto"/>
      </w:divBdr>
    </w:div>
    <w:div w:id="1006128647">
      <w:bodyDiv w:val="1"/>
      <w:marLeft w:val="0"/>
      <w:marRight w:val="0"/>
      <w:marTop w:val="0"/>
      <w:marBottom w:val="0"/>
      <w:divBdr>
        <w:top w:val="none" w:sz="0" w:space="0" w:color="auto"/>
        <w:left w:val="none" w:sz="0" w:space="0" w:color="auto"/>
        <w:bottom w:val="none" w:sz="0" w:space="0" w:color="auto"/>
        <w:right w:val="none" w:sz="0" w:space="0" w:color="auto"/>
      </w:divBdr>
    </w:div>
    <w:div w:id="1115447844">
      <w:bodyDiv w:val="1"/>
      <w:marLeft w:val="0"/>
      <w:marRight w:val="0"/>
      <w:marTop w:val="0"/>
      <w:marBottom w:val="0"/>
      <w:divBdr>
        <w:top w:val="none" w:sz="0" w:space="0" w:color="auto"/>
        <w:left w:val="none" w:sz="0" w:space="0" w:color="auto"/>
        <w:bottom w:val="none" w:sz="0" w:space="0" w:color="auto"/>
        <w:right w:val="none" w:sz="0" w:space="0" w:color="auto"/>
      </w:divBdr>
    </w:div>
    <w:div w:id="1131240538">
      <w:bodyDiv w:val="1"/>
      <w:marLeft w:val="0"/>
      <w:marRight w:val="0"/>
      <w:marTop w:val="0"/>
      <w:marBottom w:val="0"/>
      <w:divBdr>
        <w:top w:val="none" w:sz="0" w:space="0" w:color="auto"/>
        <w:left w:val="none" w:sz="0" w:space="0" w:color="auto"/>
        <w:bottom w:val="none" w:sz="0" w:space="0" w:color="auto"/>
        <w:right w:val="none" w:sz="0" w:space="0" w:color="auto"/>
      </w:divBdr>
    </w:div>
    <w:div w:id="1203251407">
      <w:bodyDiv w:val="1"/>
      <w:marLeft w:val="0"/>
      <w:marRight w:val="0"/>
      <w:marTop w:val="0"/>
      <w:marBottom w:val="0"/>
      <w:divBdr>
        <w:top w:val="none" w:sz="0" w:space="0" w:color="auto"/>
        <w:left w:val="none" w:sz="0" w:space="0" w:color="auto"/>
        <w:bottom w:val="none" w:sz="0" w:space="0" w:color="auto"/>
        <w:right w:val="none" w:sz="0" w:space="0" w:color="auto"/>
      </w:divBdr>
      <w:divsChild>
        <w:div w:id="1267738942">
          <w:blockQuote w:val="1"/>
          <w:marLeft w:val="600"/>
          <w:marRight w:val="600"/>
          <w:marTop w:val="240"/>
          <w:marBottom w:val="240"/>
          <w:divBdr>
            <w:top w:val="none" w:sz="0" w:space="0" w:color="auto"/>
            <w:left w:val="none" w:sz="0" w:space="0" w:color="auto"/>
            <w:bottom w:val="none" w:sz="0" w:space="0" w:color="auto"/>
            <w:right w:val="none" w:sz="0" w:space="0" w:color="auto"/>
          </w:divBdr>
        </w:div>
        <w:div w:id="190608653">
          <w:blockQuote w:val="1"/>
          <w:marLeft w:val="600"/>
          <w:marRight w:val="600"/>
          <w:marTop w:val="240"/>
          <w:marBottom w:val="240"/>
          <w:divBdr>
            <w:top w:val="none" w:sz="0" w:space="0" w:color="auto"/>
            <w:left w:val="none" w:sz="0" w:space="0" w:color="auto"/>
            <w:bottom w:val="none" w:sz="0" w:space="0" w:color="auto"/>
            <w:right w:val="none" w:sz="0" w:space="0" w:color="auto"/>
          </w:divBdr>
        </w:div>
        <w:div w:id="22558888">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221555026">
      <w:bodyDiv w:val="1"/>
      <w:marLeft w:val="0"/>
      <w:marRight w:val="0"/>
      <w:marTop w:val="0"/>
      <w:marBottom w:val="0"/>
      <w:divBdr>
        <w:top w:val="none" w:sz="0" w:space="0" w:color="auto"/>
        <w:left w:val="none" w:sz="0" w:space="0" w:color="auto"/>
        <w:bottom w:val="none" w:sz="0" w:space="0" w:color="auto"/>
        <w:right w:val="none" w:sz="0" w:space="0" w:color="auto"/>
      </w:divBdr>
    </w:div>
    <w:div w:id="1241528069">
      <w:bodyDiv w:val="1"/>
      <w:marLeft w:val="0"/>
      <w:marRight w:val="0"/>
      <w:marTop w:val="0"/>
      <w:marBottom w:val="0"/>
      <w:divBdr>
        <w:top w:val="none" w:sz="0" w:space="0" w:color="auto"/>
        <w:left w:val="none" w:sz="0" w:space="0" w:color="auto"/>
        <w:bottom w:val="none" w:sz="0" w:space="0" w:color="auto"/>
        <w:right w:val="none" w:sz="0" w:space="0" w:color="auto"/>
      </w:divBdr>
    </w:div>
    <w:div w:id="1242064224">
      <w:bodyDiv w:val="1"/>
      <w:marLeft w:val="0"/>
      <w:marRight w:val="0"/>
      <w:marTop w:val="0"/>
      <w:marBottom w:val="0"/>
      <w:divBdr>
        <w:top w:val="none" w:sz="0" w:space="0" w:color="auto"/>
        <w:left w:val="none" w:sz="0" w:space="0" w:color="auto"/>
        <w:bottom w:val="none" w:sz="0" w:space="0" w:color="auto"/>
        <w:right w:val="none" w:sz="0" w:space="0" w:color="auto"/>
      </w:divBdr>
    </w:div>
    <w:div w:id="1246692539">
      <w:bodyDiv w:val="1"/>
      <w:marLeft w:val="0"/>
      <w:marRight w:val="0"/>
      <w:marTop w:val="0"/>
      <w:marBottom w:val="0"/>
      <w:divBdr>
        <w:top w:val="none" w:sz="0" w:space="0" w:color="auto"/>
        <w:left w:val="none" w:sz="0" w:space="0" w:color="auto"/>
        <w:bottom w:val="none" w:sz="0" w:space="0" w:color="auto"/>
        <w:right w:val="none" w:sz="0" w:space="0" w:color="auto"/>
      </w:divBdr>
    </w:div>
    <w:div w:id="1257403921">
      <w:bodyDiv w:val="1"/>
      <w:marLeft w:val="0"/>
      <w:marRight w:val="0"/>
      <w:marTop w:val="0"/>
      <w:marBottom w:val="0"/>
      <w:divBdr>
        <w:top w:val="none" w:sz="0" w:space="0" w:color="auto"/>
        <w:left w:val="none" w:sz="0" w:space="0" w:color="auto"/>
        <w:bottom w:val="none" w:sz="0" w:space="0" w:color="auto"/>
        <w:right w:val="none" w:sz="0" w:space="0" w:color="auto"/>
      </w:divBdr>
    </w:div>
    <w:div w:id="1274552967">
      <w:bodyDiv w:val="1"/>
      <w:marLeft w:val="0"/>
      <w:marRight w:val="0"/>
      <w:marTop w:val="0"/>
      <w:marBottom w:val="0"/>
      <w:divBdr>
        <w:top w:val="none" w:sz="0" w:space="0" w:color="auto"/>
        <w:left w:val="none" w:sz="0" w:space="0" w:color="auto"/>
        <w:bottom w:val="none" w:sz="0" w:space="0" w:color="auto"/>
        <w:right w:val="none" w:sz="0" w:space="0" w:color="auto"/>
      </w:divBdr>
    </w:div>
    <w:div w:id="1295525294">
      <w:bodyDiv w:val="1"/>
      <w:marLeft w:val="0"/>
      <w:marRight w:val="0"/>
      <w:marTop w:val="0"/>
      <w:marBottom w:val="0"/>
      <w:divBdr>
        <w:top w:val="none" w:sz="0" w:space="0" w:color="auto"/>
        <w:left w:val="none" w:sz="0" w:space="0" w:color="auto"/>
        <w:bottom w:val="none" w:sz="0" w:space="0" w:color="auto"/>
        <w:right w:val="none" w:sz="0" w:space="0" w:color="auto"/>
      </w:divBdr>
    </w:div>
    <w:div w:id="1343895939">
      <w:bodyDiv w:val="1"/>
      <w:marLeft w:val="0"/>
      <w:marRight w:val="0"/>
      <w:marTop w:val="0"/>
      <w:marBottom w:val="0"/>
      <w:divBdr>
        <w:top w:val="none" w:sz="0" w:space="0" w:color="auto"/>
        <w:left w:val="none" w:sz="0" w:space="0" w:color="auto"/>
        <w:bottom w:val="none" w:sz="0" w:space="0" w:color="auto"/>
        <w:right w:val="none" w:sz="0" w:space="0" w:color="auto"/>
      </w:divBdr>
    </w:div>
    <w:div w:id="1367756360">
      <w:bodyDiv w:val="1"/>
      <w:marLeft w:val="0"/>
      <w:marRight w:val="0"/>
      <w:marTop w:val="0"/>
      <w:marBottom w:val="0"/>
      <w:divBdr>
        <w:top w:val="none" w:sz="0" w:space="0" w:color="auto"/>
        <w:left w:val="none" w:sz="0" w:space="0" w:color="auto"/>
        <w:bottom w:val="none" w:sz="0" w:space="0" w:color="auto"/>
        <w:right w:val="none" w:sz="0" w:space="0" w:color="auto"/>
      </w:divBdr>
    </w:div>
    <w:div w:id="1392465824">
      <w:bodyDiv w:val="1"/>
      <w:marLeft w:val="0"/>
      <w:marRight w:val="0"/>
      <w:marTop w:val="0"/>
      <w:marBottom w:val="0"/>
      <w:divBdr>
        <w:top w:val="none" w:sz="0" w:space="0" w:color="auto"/>
        <w:left w:val="none" w:sz="0" w:space="0" w:color="auto"/>
        <w:bottom w:val="none" w:sz="0" w:space="0" w:color="auto"/>
        <w:right w:val="none" w:sz="0" w:space="0" w:color="auto"/>
      </w:divBdr>
    </w:div>
    <w:div w:id="1396977849">
      <w:bodyDiv w:val="1"/>
      <w:marLeft w:val="0"/>
      <w:marRight w:val="0"/>
      <w:marTop w:val="0"/>
      <w:marBottom w:val="0"/>
      <w:divBdr>
        <w:top w:val="none" w:sz="0" w:space="0" w:color="auto"/>
        <w:left w:val="none" w:sz="0" w:space="0" w:color="auto"/>
        <w:bottom w:val="none" w:sz="0" w:space="0" w:color="auto"/>
        <w:right w:val="none" w:sz="0" w:space="0" w:color="auto"/>
      </w:divBdr>
    </w:div>
    <w:div w:id="1410271608">
      <w:bodyDiv w:val="1"/>
      <w:marLeft w:val="0"/>
      <w:marRight w:val="0"/>
      <w:marTop w:val="0"/>
      <w:marBottom w:val="0"/>
      <w:divBdr>
        <w:top w:val="none" w:sz="0" w:space="0" w:color="auto"/>
        <w:left w:val="none" w:sz="0" w:space="0" w:color="auto"/>
        <w:bottom w:val="none" w:sz="0" w:space="0" w:color="auto"/>
        <w:right w:val="none" w:sz="0" w:space="0" w:color="auto"/>
      </w:divBdr>
    </w:div>
    <w:div w:id="1415123669">
      <w:bodyDiv w:val="1"/>
      <w:marLeft w:val="0"/>
      <w:marRight w:val="0"/>
      <w:marTop w:val="0"/>
      <w:marBottom w:val="0"/>
      <w:divBdr>
        <w:top w:val="none" w:sz="0" w:space="0" w:color="auto"/>
        <w:left w:val="none" w:sz="0" w:space="0" w:color="auto"/>
        <w:bottom w:val="none" w:sz="0" w:space="0" w:color="auto"/>
        <w:right w:val="none" w:sz="0" w:space="0" w:color="auto"/>
      </w:divBdr>
    </w:div>
    <w:div w:id="1445729301">
      <w:bodyDiv w:val="1"/>
      <w:marLeft w:val="0"/>
      <w:marRight w:val="0"/>
      <w:marTop w:val="0"/>
      <w:marBottom w:val="0"/>
      <w:divBdr>
        <w:top w:val="none" w:sz="0" w:space="0" w:color="auto"/>
        <w:left w:val="none" w:sz="0" w:space="0" w:color="auto"/>
        <w:bottom w:val="none" w:sz="0" w:space="0" w:color="auto"/>
        <w:right w:val="none" w:sz="0" w:space="0" w:color="auto"/>
      </w:divBdr>
    </w:div>
    <w:div w:id="1453595038">
      <w:bodyDiv w:val="1"/>
      <w:marLeft w:val="0"/>
      <w:marRight w:val="0"/>
      <w:marTop w:val="0"/>
      <w:marBottom w:val="0"/>
      <w:divBdr>
        <w:top w:val="none" w:sz="0" w:space="0" w:color="auto"/>
        <w:left w:val="none" w:sz="0" w:space="0" w:color="auto"/>
        <w:bottom w:val="none" w:sz="0" w:space="0" w:color="auto"/>
        <w:right w:val="none" w:sz="0" w:space="0" w:color="auto"/>
      </w:divBdr>
    </w:div>
    <w:div w:id="1563563648">
      <w:bodyDiv w:val="1"/>
      <w:marLeft w:val="0"/>
      <w:marRight w:val="0"/>
      <w:marTop w:val="0"/>
      <w:marBottom w:val="0"/>
      <w:divBdr>
        <w:top w:val="none" w:sz="0" w:space="0" w:color="auto"/>
        <w:left w:val="none" w:sz="0" w:space="0" w:color="auto"/>
        <w:bottom w:val="none" w:sz="0" w:space="0" w:color="auto"/>
        <w:right w:val="none" w:sz="0" w:space="0" w:color="auto"/>
      </w:divBdr>
    </w:div>
    <w:div w:id="1665818683">
      <w:bodyDiv w:val="1"/>
      <w:marLeft w:val="0"/>
      <w:marRight w:val="0"/>
      <w:marTop w:val="0"/>
      <w:marBottom w:val="0"/>
      <w:divBdr>
        <w:top w:val="none" w:sz="0" w:space="0" w:color="auto"/>
        <w:left w:val="none" w:sz="0" w:space="0" w:color="auto"/>
        <w:bottom w:val="none" w:sz="0" w:space="0" w:color="auto"/>
        <w:right w:val="none" w:sz="0" w:space="0" w:color="auto"/>
      </w:divBdr>
      <w:divsChild>
        <w:div w:id="1370062342">
          <w:blockQuote w:val="1"/>
          <w:marLeft w:val="600"/>
          <w:marRight w:val="600"/>
          <w:marTop w:val="240"/>
          <w:marBottom w:val="240"/>
          <w:divBdr>
            <w:top w:val="none" w:sz="0" w:space="0" w:color="auto"/>
            <w:left w:val="none" w:sz="0" w:space="0" w:color="auto"/>
            <w:bottom w:val="none" w:sz="0" w:space="0" w:color="auto"/>
            <w:right w:val="none" w:sz="0" w:space="0" w:color="auto"/>
          </w:divBdr>
        </w:div>
        <w:div w:id="683364771">
          <w:blockQuote w:val="1"/>
          <w:marLeft w:val="600"/>
          <w:marRight w:val="600"/>
          <w:marTop w:val="240"/>
          <w:marBottom w:val="240"/>
          <w:divBdr>
            <w:top w:val="none" w:sz="0" w:space="0" w:color="auto"/>
            <w:left w:val="none" w:sz="0" w:space="0" w:color="auto"/>
            <w:bottom w:val="none" w:sz="0" w:space="0" w:color="auto"/>
            <w:right w:val="none" w:sz="0" w:space="0" w:color="auto"/>
          </w:divBdr>
        </w:div>
        <w:div w:id="424349395">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669409205">
      <w:bodyDiv w:val="1"/>
      <w:marLeft w:val="0"/>
      <w:marRight w:val="0"/>
      <w:marTop w:val="0"/>
      <w:marBottom w:val="0"/>
      <w:divBdr>
        <w:top w:val="none" w:sz="0" w:space="0" w:color="auto"/>
        <w:left w:val="none" w:sz="0" w:space="0" w:color="auto"/>
        <w:bottom w:val="none" w:sz="0" w:space="0" w:color="auto"/>
        <w:right w:val="none" w:sz="0" w:space="0" w:color="auto"/>
      </w:divBdr>
    </w:div>
    <w:div w:id="1675524264">
      <w:bodyDiv w:val="1"/>
      <w:marLeft w:val="0"/>
      <w:marRight w:val="0"/>
      <w:marTop w:val="0"/>
      <w:marBottom w:val="0"/>
      <w:divBdr>
        <w:top w:val="none" w:sz="0" w:space="0" w:color="auto"/>
        <w:left w:val="none" w:sz="0" w:space="0" w:color="auto"/>
        <w:bottom w:val="none" w:sz="0" w:space="0" w:color="auto"/>
        <w:right w:val="none" w:sz="0" w:space="0" w:color="auto"/>
      </w:divBdr>
    </w:div>
    <w:div w:id="1729956201">
      <w:bodyDiv w:val="1"/>
      <w:marLeft w:val="0"/>
      <w:marRight w:val="0"/>
      <w:marTop w:val="0"/>
      <w:marBottom w:val="0"/>
      <w:divBdr>
        <w:top w:val="none" w:sz="0" w:space="0" w:color="auto"/>
        <w:left w:val="none" w:sz="0" w:space="0" w:color="auto"/>
        <w:bottom w:val="none" w:sz="0" w:space="0" w:color="auto"/>
        <w:right w:val="none" w:sz="0" w:space="0" w:color="auto"/>
      </w:divBdr>
    </w:div>
    <w:div w:id="1756440376">
      <w:bodyDiv w:val="1"/>
      <w:marLeft w:val="0"/>
      <w:marRight w:val="0"/>
      <w:marTop w:val="0"/>
      <w:marBottom w:val="0"/>
      <w:divBdr>
        <w:top w:val="none" w:sz="0" w:space="0" w:color="auto"/>
        <w:left w:val="none" w:sz="0" w:space="0" w:color="auto"/>
        <w:bottom w:val="none" w:sz="0" w:space="0" w:color="auto"/>
        <w:right w:val="none" w:sz="0" w:space="0" w:color="auto"/>
      </w:divBdr>
    </w:div>
    <w:div w:id="1783182832">
      <w:bodyDiv w:val="1"/>
      <w:marLeft w:val="0"/>
      <w:marRight w:val="0"/>
      <w:marTop w:val="0"/>
      <w:marBottom w:val="0"/>
      <w:divBdr>
        <w:top w:val="none" w:sz="0" w:space="0" w:color="auto"/>
        <w:left w:val="none" w:sz="0" w:space="0" w:color="auto"/>
        <w:bottom w:val="none" w:sz="0" w:space="0" w:color="auto"/>
        <w:right w:val="none" w:sz="0" w:space="0" w:color="auto"/>
      </w:divBdr>
    </w:div>
    <w:div w:id="1791312741">
      <w:bodyDiv w:val="1"/>
      <w:marLeft w:val="0"/>
      <w:marRight w:val="0"/>
      <w:marTop w:val="0"/>
      <w:marBottom w:val="0"/>
      <w:divBdr>
        <w:top w:val="none" w:sz="0" w:space="0" w:color="auto"/>
        <w:left w:val="none" w:sz="0" w:space="0" w:color="auto"/>
        <w:bottom w:val="none" w:sz="0" w:space="0" w:color="auto"/>
        <w:right w:val="none" w:sz="0" w:space="0" w:color="auto"/>
      </w:divBdr>
    </w:div>
    <w:div w:id="1852599766">
      <w:bodyDiv w:val="1"/>
      <w:marLeft w:val="0"/>
      <w:marRight w:val="0"/>
      <w:marTop w:val="0"/>
      <w:marBottom w:val="0"/>
      <w:divBdr>
        <w:top w:val="none" w:sz="0" w:space="0" w:color="auto"/>
        <w:left w:val="none" w:sz="0" w:space="0" w:color="auto"/>
        <w:bottom w:val="none" w:sz="0" w:space="0" w:color="auto"/>
        <w:right w:val="none" w:sz="0" w:space="0" w:color="auto"/>
      </w:divBdr>
    </w:div>
    <w:div w:id="1865098571">
      <w:bodyDiv w:val="1"/>
      <w:marLeft w:val="0"/>
      <w:marRight w:val="0"/>
      <w:marTop w:val="0"/>
      <w:marBottom w:val="0"/>
      <w:divBdr>
        <w:top w:val="none" w:sz="0" w:space="0" w:color="auto"/>
        <w:left w:val="none" w:sz="0" w:space="0" w:color="auto"/>
        <w:bottom w:val="none" w:sz="0" w:space="0" w:color="auto"/>
        <w:right w:val="none" w:sz="0" w:space="0" w:color="auto"/>
      </w:divBdr>
    </w:div>
    <w:div w:id="1872956208">
      <w:bodyDiv w:val="1"/>
      <w:marLeft w:val="0"/>
      <w:marRight w:val="0"/>
      <w:marTop w:val="0"/>
      <w:marBottom w:val="0"/>
      <w:divBdr>
        <w:top w:val="none" w:sz="0" w:space="0" w:color="auto"/>
        <w:left w:val="none" w:sz="0" w:space="0" w:color="auto"/>
        <w:bottom w:val="none" w:sz="0" w:space="0" w:color="auto"/>
        <w:right w:val="none" w:sz="0" w:space="0" w:color="auto"/>
      </w:divBdr>
    </w:div>
    <w:div w:id="1908491040">
      <w:bodyDiv w:val="1"/>
      <w:marLeft w:val="0"/>
      <w:marRight w:val="0"/>
      <w:marTop w:val="0"/>
      <w:marBottom w:val="0"/>
      <w:divBdr>
        <w:top w:val="none" w:sz="0" w:space="0" w:color="auto"/>
        <w:left w:val="none" w:sz="0" w:space="0" w:color="auto"/>
        <w:bottom w:val="none" w:sz="0" w:space="0" w:color="auto"/>
        <w:right w:val="none" w:sz="0" w:space="0" w:color="auto"/>
      </w:divBdr>
    </w:div>
    <w:div w:id="2014184872">
      <w:bodyDiv w:val="1"/>
      <w:marLeft w:val="0"/>
      <w:marRight w:val="0"/>
      <w:marTop w:val="0"/>
      <w:marBottom w:val="0"/>
      <w:divBdr>
        <w:top w:val="none" w:sz="0" w:space="0" w:color="auto"/>
        <w:left w:val="none" w:sz="0" w:space="0" w:color="auto"/>
        <w:bottom w:val="none" w:sz="0" w:space="0" w:color="auto"/>
        <w:right w:val="none" w:sz="0" w:space="0" w:color="auto"/>
      </w:divBdr>
    </w:div>
    <w:div w:id="2091654621">
      <w:bodyDiv w:val="1"/>
      <w:marLeft w:val="0"/>
      <w:marRight w:val="0"/>
      <w:marTop w:val="0"/>
      <w:marBottom w:val="0"/>
      <w:divBdr>
        <w:top w:val="none" w:sz="0" w:space="0" w:color="auto"/>
        <w:left w:val="none" w:sz="0" w:space="0" w:color="auto"/>
        <w:bottom w:val="none" w:sz="0" w:space="0" w:color="auto"/>
        <w:right w:val="none" w:sz="0" w:space="0" w:color="auto"/>
      </w:divBdr>
    </w:div>
    <w:div w:id="2101172516">
      <w:bodyDiv w:val="1"/>
      <w:marLeft w:val="0"/>
      <w:marRight w:val="0"/>
      <w:marTop w:val="0"/>
      <w:marBottom w:val="0"/>
      <w:divBdr>
        <w:top w:val="none" w:sz="0" w:space="0" w:color="auto"/>
        <w:left w:val="none" w:sz="0" w:space="0" w:color="auto"/>
        <w:bottom w:val="none" w:sz="0" w:space="0" w:color="auto"/>
        <w:right w:val="none" w:sz="0" w:space="0" w:color="auto"/>
      </w:divBdr>
    </w:div>
    <w:div w:id="2106539397">
      <w:bodyDiv w:val="1"/>
      <w:marLeft w:val="0"/>
      <w:marRight w:val="0"/>
      <w:marTop w:val="0"/>
      <w:marBottom w:val="0"/>
      <w:divBdr>
        <w:top w:val="none" w:sz="0" w:space="0" w:color="auto"/>
        <w:left w:val="none" w:sz="0" w:space="0" w:color="auto"/>
        <w:bottom w:val="none" w:sz="0" w:space="0" w:color="auto"/>
        <w:right w:val="none" w:sz="0" w:space="0" w:color="auto"/>
      </w:divBdr>
    </w:div>
    <w:div w:id="211440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NotificationUser.aspx?Id=12192&amp;Mode=0" TargetMode="External"/><Relationship Id="rId13" Type="http://schemas.openxmlformats.org/officeDocument/2006/relationships/hyperlink" Target="https://m.rbi.org.in/scripts/FS_Notification.aspx?Id=12431&amp;fn=9&amp;Mode=0" TargetMode="External"/><Relationship Id="rId3" Type="http://schemas.openxmlformats.org/officeDocument/2006/relationships/styles" Target="styles.xml"/><Relationship Id="rId7" Type="http://schemas.openxmlformats.org/officeDocument/2006/relationships/hyperlink" Target="https://www.rbi.org.in/scripts/NotificationUser.aspx?Id=12368&amp;Mode=0" TargetMode="External"/><Relationship Id="rId12" Type="http://schemas.openxmlformats.org/officeDocument/2006/relationships/hyperlink" Target="https://prism.rbi.org.in/DAKSH/porta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rbi.org.in/Scripts/BS_ViewMasDirections.aspx?id=10084" TargetMode="External"/><Relationship Id="rId11" Type="http://schemas.openxmlformats.org/officeDocument/2006/relationships/hyperlink" Target="https://m.rbi.org.in/Scripts/BS_PressReleaseDisplay.aspx?prid=4781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rbi.org.in/Scripts/NotificationUser.aspx?Id=12371&amp;Mode=0" TargetMode="External"/><Relationship Id="rId4" Type="http://schemas.openxmlformats.org/officeDocument/2006/relationships/settings" Target="settings.xml"/><Relationship Id="rId9" Type="http://schemas.openxmlformats.org/officeDocument/2006/relationships/hyperlink" Target="https://rbidocs.rbi.org.in/rdocs/content/pdfs/RBIOS2021_amendments05082022.pdf" TargetMode="External"/><Relationship Id="rId14" Type="http://schemas.openxmlformats.org/officeDocument/2006/relationships/hyperlink" Target="https://m.rbi.org.in/scripts/FS_Notification.aspx?Id=12431&amp;fn=9&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06647-517F-4399-8EEC-49DC5C69E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4</Pages>
  <Words>954</Words>
  <Characters>5442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52</cp:revision>
  <dcterms:created xsi:type="dcterms:W3CDTF">2023-02-27T06:47:00Z</dcterms:created>
  <dcterms:modified xsi:type="dcterms:W3CDTF">2023-02-27T13:44:00Z</dcterms:modified>
</cp:coreProperties>
</file>